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9ACF1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附件2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</w:p>
    <w:p w14:paraId="5D332AD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2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  <w:lang w:eastAsia="zh-CN"/>
        </w:rPr>
        <w:t>现场展示分数组成表</w:t>
      </w:r>
    </w:p>
    <w:tbl>
      <w:tblPr>
        <w:tblStyle w:val="5"/>
        <w:tblpPr w:leftFromText="180" w:rightFromText="180" w:vertAnchor="text" w:horzAnchor="page" w:tblpXSpec="center" w:tblpY="182"/>
        <w:tblOverlap w:val="never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5951"/>
        <w:gridCol w:w="1021"/>
      </w:tblGrid>
      <w:tr w14:paraId="125DD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6" w:hRule="atLeast"/>
          <w:jc w:val="center"/>
        </w:trPr>
        <w:tc>
          <w:tcPr>
            <w:tcW w:w="909" w:type="pct"/>
            <w:vAlign w:val="center"/>
          </w:tcPr>
          <w:p w14:paraId="6306553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黑体" w:hAnsi="黑体" w:eastAsia="黑体" w:cs="仿宋"/>
              </w:rPr>
            </w:pPr>
            <w:r>
              <w:rPr>
                <w:rFonts w:hint="eastAsia" w:ascii="黑体" w:hAnsi="黑体" w:eastAsia="黑体" w:cs="仿宋"/>
              </w:rPr>
              <w:t>考核要点</w:t>
            </w:r>
          </w:p>
        </w:tc>
        <w:tc>
          <w:tcPr>
            <w:tcW w:w="3491" w:type="pct"/>
            <w:vAlign w:val="center"/>
          </w:tcPr>
          <w:p w14:paraId="04FF952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黑体" w:hAnsi="黑体" w:eastAsia="黑体" w:cs="仿宋"/>
              </w:rPr>
            </w:pPr>
            <w:r>
              <w:rPr>
                <w:rFonts w:hint="eastAsia" w:ascii="黑体" w:hAnsi="黑体" w:eastAsia="黑体" w:cs="仿宋"/>
              </w:rPr>
              <w:t>具体评分项</w:t>
            </w:r>
          </w:p>
        </w:tc>
        <w:tc>
          <w:tcPr>
            <w:tcW w:w="599" w:type="pct"/>
            <w:vAlign w:val="center"/>
          </w:tcPr>
          <w:p w14:paraId="5C0A4DF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黑体" w:hAnsi="黑体" w:eastAsia="黑体" w:cs="仿宋"/>
              </w:rPr>
            </w:pPr>
            <w:r>
              <w:rPr>
                <w:rFonts w:hint="eastAsia" w:ascii="黑体" w:hAnsi="黑体" w:eastAsia="黑体" w:cs="仿宋"/>
              </w:rPr>
              <w:t>分值</w:t>
            </w:r>
          </w:p>
        </w:tc>
      </w:tr>
      <w:tr w14:paraId="4E48A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909" w:type="pct"/>
            <w:vAlign w:val="center"/>
          </w:tcPr>
          <w:p w14:paraId="342E7A0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社团特色</w:t>
            </w:r>
          </w:p>
        </w:tc>
        <w:tc>
          <w:tcPr>
            <w:tcW w:w="3491" w:type="pct"/>
            <w:vAlign w:val="center"/>
          </w:tcPr>
          <w:p w14:paraId="760C076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展示学生社团特色文化与社团内部凝聚力，可包含工作记录，日常活动，表现社团主题向上，思想正确。</w:t>
            </w:r>
          </w:p>
        </w:tc>
        <w:tc>
          <w:tcPr>
            <w:tcW w:w="599" w:type="pct"/>
            <w:vAlign w:val="center"/>
          </w:tcPr>
          <w:p w14:paraId="4683EDD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20</w:t>
            </w:r>
          </w:p>
        </w:tc>
      </w:tr>
      <w:tr w14:paraId="14BB4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09" w:type="pct"/>
            <w:vAlign w:val="center"/>
          </w:tcPr>
          <w:p w14:paraId="544800E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社团宗旨、传承、规划</w:t>
            </w:r>
          </w:p>
        </w:tc>
        <w:tc>
          <w:tcPr>
            <w:tcW w:w="3491" w:type="pct"/>
            <w:vAlign w:val="center"/>
          </w:tcPr>
          <w:p w14:paraId="6957916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社团下学期规划或长期规划情况。</w:t>
            </w:r>
            <w:bookmarkStart w:id="0" w:name="_GoBack"/>
            <w:bookmarkEnd w:id="0"/>
          </w:p>
        </w:tc>
        <w:tc>
          <w:tcPr>
            <w:tcW w:w="599" w:type="pct"/>
            <w:vAlign w:val="center"/>
          </w:tcPr>
          <w:p w14:paraId="5F7132E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20</w:t>
            </w:r>
          </w:p>
        </w:tc>
      </w:tr>
      <w:tr w14:paraId="4430E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909" w:type="pct"/>
            <w:vAlign w:val="center"/>
          </w:tcPr>
          <w:p w14:paraId="6F4B47B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社团活动</w:t>
            </w:r>
          </w:p>
        </w:tc>
        <w:tc>
          <w:tcPr>
            <w:tcW w:w="3491" w:type="pct"/>
            <w:vAlign w:val="center"/>
          </w:tcPr>
          <w:p w14:paraId="360BDA47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ascii="仿宋" w:hAnsi="仿宋" w:eastAsia="仿宋" w:cs="仿宋"/>
                <w:kern w:val="0"/>
                <w:szCs w:val="21"/>
                <w:lang w:bidi="ar"/>
              </w:rPr>
              <w:t>活动筹备、开展、宣传情况，活动影响力、创</w:t>
            </w: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新性，与学生社团自身文化契合情况。</w:t>
            </w:r>
          </w:p>
        </w:tc>
        <w:tc>
          <w:tcPr>
            <w:tcW w:w="599" w:type="pct"/>
            <w:vAlign w:val="center"/>
          </w:tcPr>
          <w:p w14:paraId="7FC1ADA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20</w:t>
            </w:r>
          </w:p>
        </w:tc>
      </w:tr>
      <w:tr w14:paraId="5B7F4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909" w:type="pct"/>
            <w:vAlign w:val="center"/>
          </w:tcPr>
          <w:p w14:paraId="24494BE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组织结构、</w:t>
            </w:r>
          </w:p>
          <w:p w14:paraId="2AF2147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骨干能力</w:t>
            </w:r>
          </w:p>
        </w:tc>
        <w:tc>
          <w:tcPr>
            <w:tcW w:w="3491" w:type="pct"/>
            <w:vAlign w:val="center"/>
          </w:tcPr>
          <w:p w14:paraId="2409005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ascii="仿宋" w:hAnsi="仿宋" w:eastAsia="仿宋" w:cs="仿宋"/>
                <w:kern w:val="0"/>
                <w:szCs w:val="21"/>
                <w:lang w:bidi="ar"/>
              </w:rPr>
              <w:t>组织机构、制度建设、骨干配备、选拔程序、</w:t>
            </w: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部门设置、分工结构，</w:t>
            </w:r>
            <w:r>
              <w:rPr>
                <w:rFonts w:ascii="仿宋" w:hAnsi="仿宋" w:eastAsia="仿宋" w:cs="仿宋"/>
                <w:kern w:val="0"/>
                <w:szCs w:val="21"/>
                <w:lang w:bidi="ar"/>
              </w:rPr>
              <w:t>内部培训工作开展情况、社员能力提高情况。</w:t>
            </w:r>
          </w:p>
        </w:tc>
        <w:tc>
          <w:tcPr>
            <w:tcW w:w="599" w:type="pct"/>
            <w:vAlign w:val="center"/>
          </w:tcPr>
          <w:p w14:paraId="085FBA6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20</w:t>
            </w:r>
          </w:p>
        </w:tc>
      </w:tr>
      <w:tr w14:paraId="37C41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909" w:type="pct"/>
            <w:vAlign w:val="center"/>
          </w:tcPr>
          <w:p w14:paraId="3D6F03B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精神风貌</w:t>
            </w:r>
          </w:p>
        </w:tc>
        <w:tc>
          <w:tcPr>
            <w:tcW w:w="3491" w:type="pct"/>
            <w:vAlign w:val="center"/>
          </w:tcPr>
          <w:p w14:paraId="66ED929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展示过程精神面貌</w:t>
            </w:r>
            <w:r>
              <w:rPr>
                <w:rFonts w:ascii="仿宋" w:hAnsi="仿宋" w:eastAsia="仿宋" w:cs="仿宋"/>
              </w:rPr>
              <w:t>、</w:t>
            </w:r>
            <w:r>
              <w:rPr>
                <w:rFonts w:hint="eastAsia" w:ascii="仿宋" w:hAnsi="仿宋" w:eastAsia="仿宋" w:cs="仿宋"/>
              </w:rPr>
              <w:t>肢体</w:t>
            </w:r>
            <w:r>
              <w:rPr>
                <w:rFonts w:ascii="仿宋" w:hAnsi="仿宋" w:eastAsia="仿宋" w:cs="仿宋"/>
              </w:rPr>
              <w:t>动作，社团特色活动</w:t>
            </w:r>
            <w:r>
              <w:rPr>
                <w:rFonts w:hint="eastAsia" w:ascii="仿宋" w:hAnsi="仿宋" w:eastAsia="仿宋" w:cs="仿宋"/>
              </w:rPr>
              <w:t>展示</w:t>
            </w:r>
            <w:r>
              <w:rPr>
                <w:rFonts w:ascii="仿宋" w:hAnsi="仿宋" w:eastAsia="仿宋" w:cs="仿宋"/>
              </w:rPr>
              <w:t>形式等。</w:t>
            </w:r>
          </w:p>
        </w:tc>
        <w:tc>
          <w:tcPr>
            <w:tcW w:w="599" w:type="pct"/>
            <w:vAlign w:val="center"/>
          </w:tcPr>
          <w:p w14:paraId="431C826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20</w:t>
            </w:r>
          </w:p>
        </w:tc>
      </w:tr>
    </w:tbl>
    <w:p w14:paraId="5F388FAA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B8C9A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941E2B"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941E2B"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DA75B0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C46423"/>
    <w:rsid w:val="38BE7F2C"/>
    <w:rsid w:val="5FA80B51"/>
    <w:rsid w:val="77262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230</Characters>
  <Lines>0</Lines>
  <Paragraphs>0</Paragraphs>
  <TotalTime>0</TotalTime>
  <ScaleCrop>false</ScaleCrop>
  <LinksUpToDate>false</LinksUpToDate>
  <CharactersWithSpaces>230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2025-05-05T14:10:00Z</dcterms:created>
  <dc:creator>Administrator</dc:creator>
  <cp:lastModifiedBy>信息文秘</cp:lastModifiedBy>
  <dcterms:modified xsi:type="dcterms:W3CDTF">2025-05-05T14:22:48Z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eyJoZGlkIjoiNzVjYzEzMWVkZDVkYTkzNTIxODA1NzVjMTM4NjE1YjMiLCJ1c2VySWQiOiIyMjI1NjIyMzAifQ==</vt:lpwstr>
  </property>
  <property fmtid="{D5CDD505-2E9C-101B-9397-08002B2CF9AE}" pid="4" name="ICV">
    <vt:lpwstr>4E6437BCEA5846BBAA846C8E53BDA1FA_12</vt:lpwstr>
  </property>
</Properties>
</file>