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31780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附件1：</w:t>
      </w:r>
    </w:p>
    <w:p w14:paraId="75BF0FE3">
      <w:pPr>
        <w:adjustRightInd w:val="0"/>
        <w:snapToGrid w:val="0"/>
        <w:spacing w:line="360" w:lineRule="auto"/>
        <w:jc w:val="center"/>
        <w:rPr>
          <w:rFonts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北京科技大学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第四届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本科生“十佳导师”评选办法</w:t>
      </w:r>
    </w:p>
    <w:p w14:paraId="2E688EC7"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1911E3FA"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一、评选对象</w:t>
      </w:r>
    </w:p>
    <w:p w14:paraId="53980A30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北京科技大学全体本科生导师</w:t>
      </w:r>
    </w:p>
    <w:p w14:paraId="46520200"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二、评选条件</w:t>
      </w:r>
    </w:p>
    <w:p w14:paraId="2ABD23D2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（一）拥护党的路线、方针、政策，热爱教育事业，落实立德树人根本任务，认真执行本科生教育教学的有关规章制度。</w:t>
      </w:r>
    </w:p>
    <w:p w14:paraId="378B2E5D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（二）师生关系融洽，在学生中具有良好口碑，育人效果显著，未发生与其他老师或学生有不良影响的冲突事件。品德高尚、治学严谨，能为人师表，具有良好的学术道德和师德。</w:t>
      </w:r>
    </w:p>
    <w:p w14:paraId="3082A8CB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三）具有高度的责任心，认真履行导师的各项职责。关心学生的健康成长，不断提高学生思想水平、政治觉悟、道德品质。引导学生树立正确的学业观，对学生在学业规划与专业选择等方面给予指导。因材施教，进行个性化培养，拓宽学生学术视野，增强学生创新创业能力。指导学生进行职业规划，帮助就业的学生树立正确的就业观。</w:t>
      </w:r>
    </w:p>
    <w:p w14:paraId="5EB4CDBD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（四）近年来，所指导学生未发生危机事件。</w:t>
      </w:r>
    </w:p>
    <w:p w14:paraId="064EAFD1"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三、评选程序</w:t>
      </w:r>
    </w:p>
    <w:p w14:paraId="5173D70C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（一）推荐方式</w:t>
      </w:r>
    </w:p>
    <w:p w14:paraId="26D764CA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1.学生联名推荐：学生自发推荐需要5名以上本科生共同推荐，并且每个自发推荐者只能提名一位导师，联系推荐导师，共同填写相关推荐材料，由学院负责审核，并确定一名主推荐人。</w:t>
      </w:r>
    </w:p>
    <w:p w14:paraId="220D07BA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2.单位推荐：各学院根据实际情况，推荐本学院十佳导师候选人。</w:t>
      </w:r>
    </w:p>
    <w:p w14:paraId="296AD3A3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上交推荐材料要求详见附件2。</w:t>
      </w:r>
    </w:p>
    <w:p w14:paraId="356D8327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（二）学院初评</w:t>
      </w:r>
    </w:p>
    <w:p w14:paraId="65C07994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各学院根据学生联名推荐和学院推荐的情况，对提名候选人进行资格审核，本着“公平、公正、公开”的原则，成立学院初评委员会（组成人员应包括学院领导、教师代表、学生代表，相关学院会在本单位团组织的指导下负责具体组织工作），推选出本学院十佳导师候选人，经学院党政联席会讨论通过后，填写提名候选人统计表（详见附件5），并上交相关材料。具体提名候选人名额详见附件3。</w:t>
      </w:r>
    </w:p>
    <w:p w14:paraId="23AF9559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（三）全校网络投票</w:t>
      </w:r>
    </w:p>
    <w:p w14:paraId="28E46658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对学院提名候选人进行资格复核之后，进入全校网络投票阶段，采用网络公开投票制。全校本科生参与网络投票，按照得票数依次排名，排名前15位的导师进入全校评选大会环节。为确保每个学院至少有一位导师入选全校评选大会，没有导师进入前15位的学院，其得票数最高的导师代表该学院进入全校评选大会环节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最终评选出十佳导师10名，十佳导师提名奖不超过15名。</w:t>
      </w:r>
      <w:r>
        <w:rPr>
          <w:rFonts w:hint="eastAsia" w:ascii="仿宋_GB2312" w:hAnsi="仿宋" w:eastAsia="仿宋_GB2312"/>
          <w:sz w:val="28"/>
          <w:szCs w:val="28"/>
        </w:rPr>
        <w:t>评选组织单位负责进行网络公开计票，并公布、公开相关结果。</w:t>
      </w:r>
    </w:p>
    <w:p w14:paraId="3E768B57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（四）全校评选大会</w:t>
      </w:r>
    </w:p>
    <w:p w14:paraId="38C2BE90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 w:cs="宋体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kern w:val="0"/>
          <w:sz w:val="28"/>
          <w:szCs w:val="28"/>
        </w:rPr>
        <w:t>通过网络投票成功入围的导师在全校评选大会上进行风采展示。展示由学生代表进行，形式为自由演讲（每人不超过3分钟），现场可使用PPT、视频等形式。出场顺序当天抽签决定。</w:t>
      </w:r>
    </w:p>
    <w:p w14:paraId="47DE115E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 w:cs="宋体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kern w:val="0"/>
          <w:sz w:val="28"/>
          <w:szCs w:val="28"/>
        </w:rPr>
        <w:t>评选当日，各学院选派本科生代表参加大会并打分，最终评选成绩将由评委评分以及学生代表评分两部分组成。</w:t>
      </w:r>
    </w:p>
    <w:p w14:paraId="0452E687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 w:cs="宋体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kern w:val="0"/>
          <w:sz w:val="28"/>
          <w:szCs w:val="28"/>
        </w:rPr>
        <w:t>全校评选大会另行通知。</w:t>
      </w:r>
    </w:p>
    <w:p w14:paraId="5DC04331"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四、奖项设置及奖励办法</w:t>
      </w:r>
    </w:p>
    <w:p w14:paraId="2BE519B2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最终由评选大会现场答辩得分产生最终结果，得分前10名获得本科生“十佳导师”称号；其余导师获得本科生“十佳导师”提名奖。</w:t>
      </w:r>
    </w:p>
    <w:p w14:paraId="1D774B17"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五、附则</w:t>
      </w:r>
    </w:p>
    <w:p w14:paraId="673E9299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评选工作每年进行一次，获奖导师不连任，评选工作坚持公平、公正和公开的原则，各单位在上报名单的同时需在本单位公示3天，最终评审结果在学校相关网站公示5天。如没有异议，将予以表彰，对不符合条件、弄虚作假者，取消评选资格。</w:t>
      </w:r>
      <w:bookmarkStart w:id="0" w:name="_GoBack"/>
      <w:bookmarkEnd w:id="0"/>
    </w:p>
    <w:sectPr>
      <w:footerReference r:id="rId3" w:type="default"/>
      <w:pgSz w:w="11906" w:h="16838"/>
      <w:pgMar w:top="1440" w:right="1418" w:bottom="1440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  <w:sz w:val="21"/>
        <w:szCs w:val="21"/>
      </w:rPr>
      <w:id w:val="2077850986"/>
    </w:sdtPr>
    <w:sdtEndPr>
      <w:rPr>
        <w:rFonts w:hint="eastAsia" w:ascii="仿宋_GB2312" w:eastAsia="仿宋_GB2312"/>
        <w:sz w:val="21"/>
        <w:szCs w:val="21"/>
      </w:rPr>
    </w:sdtEndPr>
    <w:sdtContent>
      <w:p w14:paraId="0EE6159C">
        <w:pPr>
          <w:pStyle w:val="2"/>
          <w:jc w:val="center"/>
          <w:rPr>
            <w:rFonts w:ascii="仿宋_GB2312" w:eastAsia="仿宋_GB2312"/>
            <w:sz w:val="21"/>
            <w:szCs w:val="21"/>
          </w:rPr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  <w:lang w:val="zh-CN"/>
          </w:rPr>
          <w:t>3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bb6eae56-d3da-4c2a-aff9-bbcd93d1b19b"/>
  </w:docVars>
  <w:rsids>
    <w:rsidRoot w:val="003F6A79"/>
    <w:rsid w:val="002C5002"/>
    <w:rsid w:val="002E0264"/>
    <w:rsid w:val="003F6A79"/>
    <w:rsid w:val="0042393F"/>
    <w:rsid w:val="006D12F1"/>
    <w:rsid w:val="00B91473"/>
    <w:rsid w:val="00C86103"/>
    <w:rsid w:val="00CC634B"/>
    <w:rsid w:val="01D82D36"/>
    <w:rsid w:val="05D05A8E"/>
    <w:rsid w:val="10C23C8E"/>
    <w:rsid w:val="17230A05"/>
    <w:rsid w:val="197A4723"/>
    <w:rsid w:val="225D6FAD"/>
    <w:rsid w:val="22D9783D"/>
    <w:rsid w:val="286271EA"/>
    <w:rsid w:val="31916185"/>
    <w:rsid w:val="339467C4"/>
    <w:rsid w:val="35A70E87"/>
    <w:rsid w:val="3EB72C41"/>
    <w:rsid w:val="49CF6C45"/>
    <w:rsid w:val="4D1C3DA8"/>
    <w:rsid w:val="59F90B5F"/>
    <w:rsid w:val="63245C8B"/>
    <w:rsid w:val="64BF6C21"/>
    <w:rsid w:val="7E47519C"/>
    <w:rsid w:val="EF7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1205</Words>
  <Characters>1214</Characters>
  <Lines>8</Lines>
  <Paragraphs>2</Paragraphs>
  <TotalTime>963</TotalTime>
  <ScaleCrop>false</ScaleCrop>
  <LinksUpToDate>false</LinksUpToDate>
  <CharactersWithSpaces>1214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2020-11-25T01:34:00Z</dcterms:created>
  <dc:creator>马 潇</dc:creator>
  <cp:lastModifiedBy>信息文秘</cp:lastModifiedBy>
  <dcterms:modified xsi:type="dcterms:W3CDTF">2024-12-05T11:53:17Z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C79A86E567054FA0913BBFC41539B040</vt:lpwstr>
  </property>
</Properties>
</file>