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6F60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eastAsia="宋体"/>
          <w:sz w:val="28"/>
          <w:szCs w:val="28"/>
        </w:rPr>
      </w:pPr>
      <w:r>
        <w:rPr>
          <w:rFonts w:hint="eastAsia" w:ascii="宋体" w:hAnsi="宋体" w:eastAsia="宋体"/>
          <w:sz w:val="28"/>
          <w:szCs w:val="28"/>
        </w:rPr>
        <w:t>附件</w:t>
      </w:r>
      <w:r>
        <w:rPr>
          <w:rFonts w:ascii="宋体" w:hAnsi="宋体" w:eastAsia="宋体"/>
          <w:sz w:val="28"/>
          <w:szCs w:val="28"/>
        </w:rPr>
        <w:t>2</w:t>
      </w:r>
      <w:r>
        <w:rPr>
          <w:rFonts w:hint="eastAsia" w:ascii="宋体" w:hAnsi="宋体" w:eastAsia="宋体"/>
          <w:sz w:val="28"/>
          <w:szCs w:val="28"/>
        </w:rPr>
        <w:t>:</w:t>
      </w:r>
    </w:p>
    <w:p w14:paraId="70CA068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华文中宋" w:hAnsi="华文中宋" w:eastAsia="华文中宋"/>
          <w:b/>
          <w:bCs/>
          <w:sz w:val="32"/>
          <w:szCs w:val="32"/>
        </w:rPr>
      </w:pPr>
      <w:r>
        <w:rPr>
          <w:rFonts w:hint="eastAsia" w:ascii="华文中宋" w:hAnsi="华文中宋" w:eastAsia="华文中宋"/>
          <w:b/>
          <w:bCs/>
          <w:sz w:val="32"/>
          <w:szCs w:val="32"/>
        </w:rPr>
        <w:t>北京科技大学“摇篮杯”科技（社科）竞赛比赛方案</w:t>
      </w:r>
    </w:p>
    <w:p w14:paraId="3F43377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华文中宋" w:hAnsi="华文中宋" w:eastAsia="华文中宋"/>
          <w:b w:val="0"/>
          <w:bCs w:val="0"/>
          <w:sz w:val="28"/>
          <w:szCs w:val="28"/>
        </w:rPr>
      </w:pPr>
    </w:p>
    <w:p w14:paraId="1169063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第二十六届“摇篮杯”大学生创新创业竞赛设科技（社科）竞赛，具体实施方案如下。</w:t>
      </w:r>
    </w:p>
    <w:p w14:paraId="051F529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一、参赛项目分组与类型</w:t>
      </w:r>
    </w:p>
    <w:p w14:paraId="1BEADEF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科技竞赛按学科专业分组，包含材料化工组、资源环境组、生命科学组、机械控制组、信息技术组、社会调查组、红色活动组，后续将根据报名情况对分组进行适当调整。其中，社会调查组支持围绕发展成就、文明文化、美丽中国、民生福祉、中国之治等内容形成社会调查报告；红色活动组鼓励学生通过社会实践学习宣传贯彻党的二十大精神，支持重走红色足迹、追溯红色记忆、访谈红色人物、挖掘红色故事、体悟红色文化，感受党的红色精神伟力，通过返回家乡看变化、重走故地看新颜、深入乡村看振兴、走进一线看发展，从而深刻理解“两个确立”的决定性意义，以实际行动学习宣传贯彻党的二十大精神。</w:t>
      </w:r>
      <w:r>
        <w:rPr>
          <w:rFonts w:hint="eastAsia" w:ascii="仿宋_GB2312" w:hAnsi="黑体" w:eastAsia="仿宋_GB2312"/>
          <w:b/>
          <w:bCs/>
          <w:sz w:val="28"/>
          <w:szCs w:val="28"/>
        </w:rPr>
        <w:t>鼓励理工科专业的学生，将技术服务和为企业或地方解决实际问题的过程撰写为社会调查报告进行参赛。</w:t>
      </w:r>
    </w:p>
    <w:p w14:paraId="00B43EA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竞赛包含三类作品，科技发明制作类作品需有已成型的发明制作，同时提交研究报告（论文格式），介绍作品的研究目的价值、国内外研究现状、主要成果、创新点和结论等；自然科学类学术论文作品需按照正式论文格式提交论文，建议按照论文相关研究内容，制作相应的可进行功能演示的实物作品；哲学社会科学类社会调查报告</w:t>
      </w:r>
      <w:r>
        <w:rPr>
          <w:rFonts w:hint="eastAsia" w:ascii="仿宋_GB2312" w:hAnsi="仿宋" w:eastAsia="仿宋_GB2312"/>
          <w:sz w:val="28"/>
          <w:szCs w:val="28"/>
          <w:lang w:eastAsia="zh"/>
        </w:rPr>
        <w:t>（含社会调查组、红色活动组）</w:t>
      </w:r>
      <w:r>
        <w:rPr>
          <w:rFonts w:hint="eastAsia" w:ascii="仿宋_GB2312" w:hAnsi="仿宋" w:eastAsia="仿宋_GB2312"/>
          <w:sz w:val="28"/>
          <w:szCs w:val="28"/>
        </w:rPr>
        <w:t>需提交相应的调查报告，红色活动</w:t>
      </w:r>
      <w:r>
        <w:rPr>
          <w:rFonts w:hint="eastAsia" w:ascii="仿宋_GB2312" w:hAnsi="仿宋" w:eastAsia="仿宋_GB2312"/>
          <w:sz w:val="28"/>
          <w:szCs w:val="28"/>
          <w:lang w:eastAsia="zh"/>
        </w:rPr>
        <w:t>组</w:t>
      </w:r>
      <w:r>
        <w:rPr>
          <w:rFonts w:hint="eastAsia" w:ascii="仿宋_GB2312" w:hAnsi="仿宋" w:eastAsia="仿宋_GB2312"/>
          <w:sz w:val="28"/>
          <w:szCs w:val="28"/>
        </w:rPr>
        <w:t>必须提交视频。</w:t>
      </w:r>
    </w:p>
    <w:p w14:paraId="38CFB68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二、参赛方式和要求</w:t>
      </w:r>
    </w:p>
    <w:p w14:paraId="1399FD6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1.凡在校正式注册的本科生、硕士研究生完成的学术科技作品均可参赛（自然科学类学术论文的作者限本科生）；</w:t>
      </w:r>
    </w:p>
    <w:p w14:paraId="159A76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lang w:eastAsia="zh"/>
        </w:rPr>
      </w:pPr>
      <w:r>
        <w:rPr>
          <w:rFonts w:hint="eastAsia" w:ascii="仿宋_GB2312" w:hAnsi="仿宋" w:eastAsia="仿宋_GB2312"/>
          <w:sz w:val="28"/>
          <w:szCs w:val="28"/>
        </w:rPr>
        <w:t>2.参赛团队总人数不超过7人（包括项目负责人），每人只能担任一个项目的负责人。按自然科学类学术论文作品和哲学社会科学类学术论文作品申报参赛的团队，若论文已发表，论文第一作者须为学生且必须为团队负责人；按照科技发明制作类作品申报参赛的团队，若已申请专利，专利第一完成人须为学生且必须为团队负责人</w:t>
      </w:r>
      <w:r>
        <w:rPr>
          <w:rFonts w:hint="eastAsia" w:ascii="仿宋_GB2312" w:hAnsi="仿宋" w:eastAsia="仿宋_GB2312"/>
          <w:sz w:val="28"/>
          <w:szCs w:val="28"/>
          <w:lang w:eastAsia="zh"/>
        </w:rPr>
        <w:t>；</w:t>
      </w:r>
    </w:p>
    <w:p w14:paraId="61B2046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3.参赛作品应突出科学性、创新性、原创性和现实意义，从实际意义出发，侧重解决社会生产生活中的具体问题；</w:t>
      </w:r>
    </w:p>
    <w:p w14:paraId="055F193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黑体" w:eastAsia="仿宋_GB2312"/>
          <w:b/>
          <w:bCs/>
          <w:sz w:val="28"/>
          <w:szCs w:val="28"/>
        </w:rPr>
      </w:pPr>
      <w:r>
        <w:rPr>
          <w:rFonts w:hint="eastAsia" w:ascii="仿宋_GB2312" w:hAnsi="仿宋" w:eastAsia="仿宋_GB2312"/>
          <w:sz w:val="28"/>
          <w:szCs w:val="28"/>
        </w:rPr>
        <w:t>4.学生毕业设计和课程设计（论文）、学位论文均不在申报范围之列；已获往年摇篮杯科技竞赛（学术科技作品竞赛）二等奖及以上的项目不得参赛，不得使用往年参赛材料重复参赛。</w:t>
      </w:r>
      <w:r>
        <w:rPr>
          <w:rFonts w:hint="eastAsia" w:ascii="仿宋_GB2312" w:hAnsi="黑体" w:eastAsia="仿宋_GB2312"/>
          <w:b/>
          <w:bCs/>
          <w:sz w:val="28"/>
          <w:szCs w:val="28"/>
        </w:rPr>
        <w:t>若重复率</w:t>
      </w:r>
      <w:r>
        <w:rPr>
          <w:rFonts w:hint="eastAsia" w:ascii="仿宋_GB2312" w:hAnsi="黑体" w:eastAsia="仿宋_GB2312"/>
          <w:b/>
          <w:bCs/>
          <w:sz w:val="28"/>
          <w:szCs w:val="28"/>
          <w:lang w:eastAsia="zh"/>
        </w:rPr>
        <w:t>大于或等于</w:t>
      </w:r>
      <w:r>
        <w:rPr>
          <w:rFonts w:hint="eastAsia" w:ascii="仿宋_GB2312" w:hAnsi="黑体" w:eastAsia="仿宋_GB2312"/>
          <w:b/>
          <w:bCs/>
          <w:sz w:val="28"/>
          <w:szCs w:val="28"/>
        </w:rPr>
        <w:t>20%，无论作品是否在往届比赛中获奖，均视为违规，一经发现，按抄袭处理；</w:t>
      </w:r>
    </w:p>
    <w:p w14:paraId="053BD2F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lang w:eastAsia="zh"/>
        </w:rPr>
      </w:pPr>
      <w:r>
        <w:rPr>
          <w:rFonts w:hint="eastAsia" w:ascii="仿宋_GB2312" w:hAnsi="仿宋" w:eastAsia="仿宋_GB2312"/>
          <w:sz w:val="28"/>
          <w:szCs w:val="28"/>
        </w:rPr>
        <w:t>5.同一个项目参加科技（社科）竞赛，只能选择一个组别参赛，不能同时报名参加多个组别的比赛</w:t>
      </w:r>
      <w:r>
        <w:rPr>
          <w:rFonts w:hint="eastAsia" w:ascii="仿宋_GB2312" w:hAnsi="仿宋" w:eastAsia="仿宋_GB2312"/>
          <w:sz w:val="28"/>
          <w:szCs w:val="28"/>
          <w:lang w:eastAsia="zh"/>
        </w:rPr>
        <w:t>；</w:t>
      </w:r>
    </w:p>
    <w:p w14:paraId="18760CDC">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lang w:eastAsia="zh"/>
        </w:rPr>
      </w:pPr>
      <w:r>
        <w:rPr>
          <w:rFonts w:ascii="仿宋_GB2312" w:hAnsi="仿宋" w:eastAsia="仿宋_GB2312"/>
          <w:b/>
          <w:bCs/>
          <w:sz w:val="28"/>
          <w:szCs w:val="28"/>
        </w:rPr>
        <w:t>6</w:t>
      </w:r>
      <w:r>
        <w:rPr>
          <w:rFonts w:hint="eastAsia" w:ascii="仿宋_GB2312" w:hAnsi="仿宋" w:eastAsia="仿宋_GB2312"/>
          <w:b/>
          <w:bCs/>
          <w:sz w:val="28"/>
          <w:szCs w:val="28"/>
        </w:rPr>
        <w:t>.鼓励学生以第一作者发表论文或以第一完成人申请专利，评审时将考察论文发表情况和专利申请与授权情况，请务必在参赛材料中重点注明</w:t>
      </w:r>
      <w:r>
        <w:rPr>
          <w:rFonts w:hint="eastAsia" w:ascii="仿宋_GB2312" w:hAnsi="仿宋" w:eastAsia="仿宋_GB2312"/>
          <w:b/>
          <w:bCs/>
          <w:sz w:val="28"/>
          <w:szCs w:val="28"/>
          <w:lang w:eastAsia="zh"/>
        </w:rPr>
        <w:t>。</w:t>
      </w:r>
    </w:p>
    <w:p w14:paraId="2C5819B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三、申报要求</w:t>
      </w:r>
    </w:p>
    <w:p w14:paraId="4AE06D0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申报作品采用网络申报形式，请各位负责人按照团队成员贡献度进行排序，报名网站的成员顺序默认为团队成员贡献度排序及获奖证书成员排序，若出现因为项目填报信息错误而出现的问题，责任将由项目团队自行承担；</w:t>
      </w:r>
    </w:p>
    <w:p w14:paraId="5491CCD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2.报名参加材料化工组、资源环境组、生命科学组、机械控制组、信息技术组的作品，如果是科技发明制作类作品，需有已成型的发明制作，需提交研究报告，介绍作品的研究目的价值、国内外研究现状、研制过程、主要成果、创新点和结论等，字数不限；如果是自然科学类学术论文作品，需按照正式论文格式（含摘要、关键词、正文、参考文献等部分）提交论文，字数不限，建议参考毕业论文的格式要求。有相应的可进行功能演示的实物作品，可在论文中进行描述，可同时提交实物作品的图片和视频；</w:t>
      </w:r>
    </w:p>
    <w:p w14:paraId="786C88E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3.报名参加社会调查组的作品，需撰写哲学社会科学类社会调查报告，报告不超过15000字，调研报告中的访谈录等内容可作为附件提交（字数不限）。为党政部门、企事业单位所作的各类发展规划、工作方案和咨询报告,已被采用的须附上原件和采用单位证明的复印件和鉴定材料等；</w:t>
      </w:r>
    </w:p>
    <w:p w14:paraId="4C7340C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4.报名参加红色活动组的作品，应既有短视频、又有调研报告（两者为1件整体作品），作品基本要求为：短视频时长5分钟以内，应避免简单性叙述实践过程，着意于对新时代发展成就的理解、实践过程的收获以及对党的情感认同，致力于能使同龄人引起共鸣、共同教育、共同成长，鼓励围绕发展故事、典型人物深度挖掘，形成有温度、易传播的视频（视频格式：MP4，视频分辨率：1280*720、1920*1080）；调研报告应既有事实叙述，也有观点论述，符合真实性、思想性、简洁性的特征要求，字数在5000字至10000字之间。评审过程中将主要考察作品的红色教育意义是否强，以及作品创新性、学术性、感染力和传播力，短视频和调研报告的评分权重分别为55%、45%；</w:t>
      </w:r>
    </w:p>
    <w:p w14:paraId="76CD119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5.申报作品必须有两名相关专业教师推荐（提交材料后导出申报书，请推荐教师填写“推荐者情况及对作品的说明”一栏，初赛时将申报书提交至学院，学院评出晋级校级复赛作品后，将申报书交至校团委）；</w:t>
      </w:r>
    </w:p>
    <w:p w14:paraId="342871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6.可将相关论文发表情况、申请专利情况、生产应用情况等相关材料作为附件上传，并在网络系统申报时进行填写说明；</w:t>
      </w:r>
    </w:p>
    <w:p w14:paraId="4D226119">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黑体" w:eastAsia="仿宋_GB2312"/>
          <w:b/>
          <w:bCs/>
          <w:sz w:val="28"/>
          <w:szCs w:val="28"/>
        </w:rPr>
      </w:pPr>
      <w:r>
        <w:rPr>
          <w:rFonts w:hint="eastAsia" w:ascii="仿宋_GB2312" w:hAnsi="黑体" w:eastAsia="仿宋_GB2312"/>
          <w:b/>
          <w:bCs/>
          <w:sz w:val="28"/>
          <w:szCs w:val="28"/>
        </w:rPr>
        <w:t>7.在项目申报和院级初赛评审时，项目均归属于项目负责人所在学院，与项目分组无关，由项目负责人所在学院开展资格审核并组织评审；</w:t>
      </w:r>
    </w:p>
    <w:p w14:paraId="3AF3E85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8.参赛项目的项目团队的指导老师最多三名。</w:t>
      </w:r>
    </w:p>
    <w:p w14:paraId="3A25B09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四、竞赛安排</w:t>
      </w:r>
    </w:p>
    <w:p w14:paraId="52F48046">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rPr>
      </w:pPr>
      <w:r>
        <w:rPr>
          <w:rFonts w:hint="eastAsia" w:ascii="仿宋_GB2312" w:hAnsi="仿宋" w:eastAsia="仿宋_GB2312"/>
          <w:b/>
          <w:bCs/>
          <w:sz w:val="28"/>
          <w:szCs w:val="28"/>
        </w:rPr>
        <w:t>1.团队组建与作品申报</w:t>
      </w:r>
    </w:p>
    <w:p w14:paraId="08E9DB1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时间安排：202</w:t>
      </w:r>
      <w:r>
        <w:rPr>
          <w:rFonts w:ascii="仿宋_GB2312" w:hAnsi="仿宋" w:eastAsia="仿宋_GB2312"/>
          <w:sz w:val="28"/>
          <w:szCs w:val="28"/>
        </w:rPr>
        <w:t>4</w:t>
      </w:r>
      <w:r>
        <w:rPr>
          <w:rFonts w:hint="eastAsia" w:ascii="仿宋_GB2312" w:hAnsi="仿宋" w:eastAsia="仿宋_GB2312"/>
          <w:sz w:val="28"/>
          <w:szCs w:val="28"/>
        </w:rPr>
        <w:t>年11月至202</w:t>
      </w:r>
      <w:r>
        <w:rPr>
          <w:rFonts w:ascii="仿宋_GB2312" w:hAnsi="仿宋" w:eastAsia="仿宋_GB2312"/>
          <w:sz w:val="28"/>
          <w:szCs w:val="28"/>
        </w:rPr>
        <w:t>5</w:t>
      </w:r>
      <w:r>
        <w:rPr>
          <w:rFonts w:hint="eastAsia" w:ascii="仿宋_GB2312" w:hAnsi="仿宋" w:eastAsia="仿宋_GB2312"/>
          <w:sz w:val="28"/>
          <w:szCs w:val="28"/>
        </w:rPr>
        <w:t>年</w:t>
      </w:r>
      <w:r>
        <w:rPr>
          <w:rFonts w:ascii="仿宋_GB2312" w:hAnsi="仿宋" w:eastAsia="仿宋_GB2312"/>
          <w:sz w:val="28"/>
          <w:szCs w:val="28"/>
        </w:rPr>
        <w:t>3</w:t>
      </w:r>
      <w:r>
        <w:rPr>
          <w:rFonts w:hint="eastAsia" w:ascii="仿宋_GB2312" w:hAnsi="仿宋" w:eastAsia="仿宋_GB2312"/>
          <w:sz w:val="28"/>
          <w:szCs w:val="28"/>
        </w:rPr>
        <w:t>月</w:t>
      </w:r>
    </w:p>
    <w:p w14:paraId="0E86DD2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学生登录摇篮杯官方网站进行竞赛作品申报，</w:t>
      </w:r>
      <w:bookmarkStart w:id="0" w:name="_Hlk182577924"/>
      <w:r>
        <w:rPr>
          <w:rFonts w:hint="eastAsia" w:ascii="仿宋_GB2312" w:hAnsi="仿宋" w:eastAsia="仿宋_GB2312"/>
          <w:sz w:val="28"/>
          <w:szCs w:val="28"/>
        </w:rPr>
        <w:t>系统将于202</w:t>
      </w:r>
      <w:r>
        <w:rPr>
          <w:rFonts w:ascii="仿宋_GB2312" w:hAnsi="仿宋" w:eastAsia="仿宋_GB2312"/>
          <w:sz w:val="28"/>
          <w:szCs w:val="28"/>
        </w:rPr>
        <w:t>4</w:t>
      </w:r>
      <w:r>
        <w:rPr>
          <w:rFonts w:hint="eastAsia" w:ascii="仿宋_GB2312" w:hAnsi="仿宋" w:eastAsia="仿宋_GB2312"/>
          <w:sz w:val="28"/>
          <w:szCs w:val="28"/>
        </w:rPr>
        <w:t>年11月</w:t>
      </w:r>
      <w:r>
        <w:rPr>
          <w:rFonts w:ascii="仿宋_GB2312" w:hAnsi="仿宋" w:eastAsia="仿宋_GB2312"/>
          <w:sz w:val="28"/>
          <w:szCs w:val="28"/>
        </w:rPr>
        <w:t>25</w:t>
      </w:r>
      <w:r>
        <w:rPr>
          <w:rFonts w:hint="eastAsia" w:ascii="仿宋_GB2312" w:hAnsi="仿宋" w:eastAsia="仿宋_GB2312"/>
          <w:sz w:val="28"/>
          <w:szCs w:val="28"/>
        </w:rPr>
        <w:t>日（</w:t>
      </w:r>
      <w:r>
        <w:rPr>
          <w:rFonts w:ascii="仿宋_GB2312" w:hAnsi="仿宋" w:eastAsia="仿宋_GB2312"/>
          <w:sz w:val="28"/>
          <w:szCs w:val="28"/>
        </w:rPr>
        <w:t>24</w:t>
      </w:r>
      <w:r>
        <w:rPr>
          <w:rFonts w:hint="eastAsia" w:ascii="仿宋_GB2312" w:hAnsi="仿宋" w:eastAsia="仿宋_GB2312"/>
          <w:sz w:val="28"/>
          <w:szCs w:val="28"/>
        </w:rPr>
        <w:t>时）开放，报名截至202</w:t>
      </w:r>
      <w:r>
        <w:rPr>
          <w:rFonts w:ascii="仿宋_GB2312" w:hAnsi="仿宋" w:eastAsia="仿宋_GB2312"/>
          <w:sz w:val="28"/>
          <w:szCs w:val="28"/>
        </w:rPr>
        <w:t>4</w:t>
      </w:r>
      <w:r>
        <w:rPr>
          <w:rFonts w:hint="eastAsia" w:ascii="仿宋_GB2312" w:hAnsi="仿宋" w:eastAsia="仿宋_GB2312"/>
          <w:sz w:val="28"/>
          <w:szCs w:val="28"/>
        </w:rPr>
        <w:t>-202</w:t>
      </w:r>
      <w:r>
        <w:rPr>
          <w:rFonts w:ascii="仿宋_GB2312" w:hAnsi="仿宋" w:eastAsia="仿宋_GB2312"/>
          <w:sz w:val="28"/>
          <w:szCs w:val="28"/>
        </w:rPr>
        <w:t>5</w:t>
      </w:r>
      <w:r>
        <w:rPr>
          <w:rFonts w:hint="eastAsia" w:ascii="仿宋_GB2312" w:hAnsi="仿宋" w:eastAsia="仿宋_GB2312"/>
          <w:sz w:val="28"/>
          <w:szCs w:val="28"/>
        </w:rPr>
        <w:t>学年春季学期第2周周日晚24:00。</w:t>
      </w:r>
      <w:bookmarkEnd w:id="0"/>
    </w:p>
    <w:p w14:paraId="66DE9B7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各学院广泛宣传、组织动员学生积极参与比赛，并邀请教师参与指导。校院组委会组织宣讲动员会，讲解竞赛规程、辅导参赛事宜。</w:t>
      </w:r>
    </w:p>
    <w:p w14:paraId="04FF524B">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rPr>
      </w:pPr>
      <w:r>
        <w:rPr>
          <w:rFonts w:hint="eastAsia" w:ascii="仿宋_GB2312" w:hAnsi="仿宋" w:eastAsia="仿宋_GB2312"/>
          <w:b/>
          <w:bCs/>
          <w:sz w:val="28"/>
          <w:szCs w:val="28"/>
        </w:rPr>
        <w:t>2.资格审查与院级初赛名额分配</w:t>
      </w:r>
    </w:p>
    <w:p w14:paraId="5204B8D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时间安排：202</w:t>
      </w:r>
      <w:r>
        <w:rPr>
          <w:rFonts w:ascii="仿宋_GB2312" w:hAnsi="仿宋" w:eastAsia="仿宋_GB2312"/>
          <w:sz w:val="28"/>
          <w:szCs w:val="28"/>
        </w:rPr>
        <w:t>4</w:t>
      </w:r>
      <w:r>
        <w:rPr>
          <w:rFonts w:hint="eastAsia" w:ascii="仿宋_GB2312" w:hAnsi="仿宋" w:eastAsia="仿宋_GB2312"/>
          <w:sz w:val="28"/>
          <w:szCs w:val="28"/>
        </w:rPr>
        <w:t>-202</w:t>
      </w:r>
      <w:r>
        <w:rPr>
          <w:rFonts w:ascii="仿宋_GB2312" w:hAnsi="仿宋" w:eastAsia="仿宋_GB2312"/>
          <w:sz w:val="28"/>
          <w:szCs w:val="28"/>
        </w:rPr>
        <w:t>5</w:t>
      </w:r>
      <w:r>
        <w:rPr>
          <w:rFonts w:hint="eastAsia" w:ascii="仿宋_GB2312" w:hAnsi="仿宋" w:eastAsia="仿宋_GB2312"/>
          <w:sz w:val="28"/>
          <w:szCs w:val="28"/>
        </w:rPr>
        <w:t>学年春季学期第3周</w:t>
      </w:r>
    </w:p>
    <w:p w14:paraId="1A3440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校院组委会对申报作品进行检查，防止出现抄袭、相同材料重复参赛等情况。同时根据申报情况，为各学院分配晋级校级复赛的名额。</w:t>
      </w:r>
    </w:p>
    <w:p w14:paraId="618C65DC">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rPr>
      </w:pPr>
      <w:r>
        <w:rPr>
          <w:rFonts w:hint="eastAsia" w:ascii="仿宋_GB2312" w:hAnsi="仿宋" w:eastAsia="仿宋_GB2312"/>
          <w:b/>
          <w:bCs/>
          <w:sz w:val="28"/>
          <w:szCs w:val="28"/>
        </w:rPr>
        <w:t>3.院级初赛和初赛晋级作品修改</w:t>
      </w:r>
    </w:p>
    <w:p w14:paraId="622C942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时间安排：202</w:t>
      </w:r>
      <w:r>
        <w:rPr>
          <w:rFonts w:ascii="仿宋_GB2312" w:hAnsi="仿宋" w:eastAsia="仿宋_GB2312"/>
          <w:sz w:val="28"/>
          <w:szCs w:val="28"/>
        </w:rPr>
        <w:t>4</w:t>
      </w:r>
      <w:r>
        <w:rPr>
          <w:rFonts w:hint="eastAsia" w:ascii="仿宋_GB2312" w:hAnsi="仿宋" w:eastAsia="仿宋_GB2312"/>
          <w:sz w:val="28"/>
          <w:szCs w:val="28"/>
        </w:rPr>
        <w:t>-202</w:t>
      </w:r>
      <w:r>
        <w:rPr>
          <w:rFonts w:ascii="仿宋_GB2312" w:hAnsi="仿宋" w:eastAsia="仿宋_GB2312"/>
          <w:sz w:val="28"/>
          <w:szCs w:val="28"/>
        </w:rPr>
        <w:t>5</w:t>
      </w:r>
      <w:r>
        <w:rPr>
          <w:rFonts w:hint="eastAsia" w:ascii="仿宋_GB2312" w:hAnsi="仿宋" w:eastAsia="仿宋_GB2312"/>
          <w:sz w:val="28"/>
          <w:szCs w:val="28"/>
        </w:rPr>
        <w:t>学年春季学期第3-4周</w:t>
      </w:r>
    </w:p>
    <w:p w14:paraId="633C268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开展评审工作，每件作品均需经过至少3名评委评审。学院确定晋级校级复赛名单后，可在系统中对晋级作品点击“审核预通过”，参赛作品可根据评委意见进行修改后重新提交。</w:t>
      </w:r>
      <w:r>
        <w:rPr>
          <w:rFonts w:hint="eastAsia" w:ascii="仿宋_GB2312" w:hAnsi="仿宋" w:eastAsia="仿宋_GB2312"/>
          <w:b/>
          <w:bCs/>
          <w:sz w:val="28"/>
          <w:szCs w:val="28"/>
        </w:rPr>
        <w:t>院级初赛须考虑到学生报名的不同组别，合理分配各组别名额。</w:t>
      </w:r>
    </w:p>
    <w:p w14:paraId="159E259E">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rPr>
      </w:pPr>
      <w:r>
        <w:rPr>
          <w:rFonts w:hint="eastAsia" w:ascii="仿宋_GB2312" w:hAnsi="仿宋" w:eastAsia="仿宋_GB2312"/>
          <w:b/>
          <w:bCs/>
          <w:sz w:val="28"/>
          <w:szCs w:val="28"/>
        </w:rPr>
        <w:t>4.校级复赛、决赛及冠军争夺赛</w:t>
      </w:r>
    </w:p>
    <w:p w14:paraId="6F15D07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时间安排：202</w:t>
      </w:r>
      <w:r>
        <w:rPr>
          <w:rFonts w:ascii="仿宋_GB2312" w:hAnsi="仿宋" w:eastAsia="仿宋_GB2312"/>
          <w:sz w:val="28"/>
          <w:szCs w:val="28"/>
        </w:rPr>
        <w:t>4</w:t>
      </w:r>
      <w:r>
        <w:rPr>
          <w:rFonts w:hint="eastAsia" w:ascii="仿宋_GB2312" w:hAnsi="仿宋" w:eastAsia="仿宋_GB2312"/>
          <w:sz w:val="28"/>
          <w:szCs w:val="28"/>
        </w:rPr>
        <w:t>-202</w:t>
      </w:r>
      <w:r>
        <w:rPr>
          <w:rFonts w:ascii="仿宋_GB2312" w:hAnsi="仿宋" w:eastAsia="仿宋_GB2312"/>
          <w:sz w:val="28"/>
          <w:szCs w:val="28"/>
        </w:rPr>
        <w:t>5</w:t>
      </w:r>
      <w:r>
        <w:rPr>
          <w:rFonts w:hint="eastAsia" w:ascii="仿宋_GB2312" w:hAnsi="仿宋" w:eastAsia="仿宋_GB2312"/>
          <w:sz w:val="28"/>
          <w:szCs w:val="28"/>
        </w:rPr>
        <w:t>学年春季学期第5-</w:t>
      </w:r>
      <w:r>
        <w:rPr>
          <w:rFonts w:ascii="仿宋_GB2312" w:hAnsi="仿宋" w:eastAsia="仿宋_GB2312"/>
          <w:sz w:val="28"/>
          <w:szCs w:val="28"/>
        </w:rPr>
        <w:t>12</w:t>
      </w:r>
      <w:r>
        <w:rPr>
          <w:rFonts w:hint="eastAsia" w:ascii="仿宋_GB2312" w:hAnsi="仿宋" w:eastAsia="仿宋_GB2312"/>
          <w:sz w:val="28"/>
          <w:szCs w:val="28"/>
        </w:rPr>
        <w:t>周</w:t>
      </w:r>
    </w:p>
    <w:p w14:paraId="32EAB28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校级组委会组织相关专家进行形式审查和复赛材料评审，排名18%至30%</w:t>
      </w:r>
      <w:r>
        <w:rPr>
          <w:rFonts w:hint="eastAsia" w:ascii="仿宋_GB2312" w:hAnsi="仿宋" w:eastAsia="仿宋_GB2312"/>
          <w:sz w:val="28"/>
          <w:szCs w:val="28"/>
          <w:lang w:eastAsia="zh"/>
        </w:rPr>
        <w:t>（含30%）</w:t>
      </w:r>
      <w:r>
        <w:rPr>
          <w:rFonts w:hint="eastAsia" w:ascii="仿宋_GB2312" w:hAnsi="仿宋" w:eastAsia="仿宋_GB2312"/>
          <w:sz w:val="28"/>
          <w:szCs w:val="28"/>
        </w:rPr>
        <w:t>的项目直接授予三等奖，排名前18%（含18%）的项目进入决赛答辩环节。决赛按照分组进行答辩，</w:t>
      </w:r>
      <w:bookmarkStart w:id="1" w:name="_Hlk182578020"/>
      <w:r>
        <w:rPr>
          <w:rFonts w:hint="eastAsia" w:ascii="仿宋_GB2312" w:hAnsi="仿宋" w:eastAsia="仿宋_GB2312"/>
          <w:sz w:val="28"/>
          <w:szCs w:val="28"/>
        </w:rPr>
        <w:t>在第8周前</w:t>
      </w:r>
      <w:bookmarkEnd w:id="1"/>
      <w:r>
        <w:rPr>
          <w:rFonts w:hint="eastAsia" w:ascii="仿宋_GB2312" w:hAnsi="仿宋" w:eastAsia="仿宋_GB2312"/>
          <w:sz w:val="28"/>
          <w:szCs w:val="28"/>
        </w:rPr>
        <w:t>评出特、一、二等奖。若个别组别项目较少，组委会将适当进行分组合并与调整。科技竞赛、创业竞赛每组第一，以及青年红色筑梦之旅竞赛、华为产业命题竞赛、众山精密材料大模型命题竞赛评分最高的项目可参与冠军争夺赛</w:t>
      </w:r>
      <w:bookmarkStart w:id="2" w:name="_Hlk182578034"/>
      <w:r>
        <w:rPr>
          <w:rFonts w:hint="eastAsia" w:ascii="仿宋_GB2312" w:hAnsi="仿宋" w:eastAsia="仿宋_GB2312"/>
          <w:sz w:val="28"/>
          <w:szCs w:val="28"/>
        </w:rPr>
        <w:t>（第9周后举办）</w:t>
      </w:r>
      <w:bookmarkEnd w:id="2"/>
      <w:r>
        <w:rPr>
          <w:rFonts w:hint="eastAsia" w:ascii="仿宋_GB2312" w:hAnsi="仿宋" w:eastAsia="仿宋_GB2312"/>
          <w:sz w:val="28"/>
          <w:szCs w:val="28"/>
        </w:rPr>
        <w:t>，产生冠、亚、季军项目。</w:t>
      </w:r>
    </w:p>
    <w:p w14:paraId="70CED9E6">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仿宋" w:eastAsia="仿宋_GB2312"/>
          <w:b/>
          <w:bCs/>
          <w:sz w:val="28"/>
          <w:szCs w:val="28"/>
        </w:rPr>
      </w:pPr>
      <w:r>
        <w:rPr>
          <w:rFonts w:hint="eastAsia" w:ascii="仿宋_GB2312" w:hAnsi="仿宋" w:eastAsia="仿宋_GB2312"/>
          <w:b/>
          <w:bCs/>
          <w:sz w:val="28"/>
          <w:szCs w:val="28"/>
        </w:rPr>
        <w:t>注：具体时间截点请注意“北科大创新创业竞赛”微信公众号通知，根据客观情况进行调整。</w:t>
      </w:r>
    </w:p>
    <w:p w14:paraId="0D36E77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五、赛事协同</w:t>
      </w:r>
    </w:p>
    <w:p w14:paraId="2B07DF6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仿宋_GB2312" w:hAnsi="仿宋" w:eastAsia="仿宋_GB2312"/>
          <w:sz w:val="28"/>
          <w:szCs w:val="28"/>
        </w:rPr>
        <w:t>科技（社科）竞赛与2</w:t>
      </w:r>
      <w:r>
        <w:rPr>
          <w:rFonts w:ascii="仿宋_GB2312" w:hAnsi="仿宋" w:eastAsia="仿宋_GB2312"/>
          <w:sz w:val="28"/>
          <w:szCs w:val="28"/>
        </w:rPr>
        <w:t>025</w:t>
      </w:r>
      <w:r>
        <w:rPr>
          <w:rFonts w:hint="eastAsia" w:ascii="仿宋_GB2312" w:hAnsi="仿宋" w:eastAsia="仿宋_GB2312"/>
          <w:sz w:val="28"/>
          <w:szCs w:val="28"/>
        </w:rPr>
        <w:t>年“挑战杯”首都大学生课外学术科技作品竞赛主体赛校内遴选同期进行，入围“挑战杯”首都赛的1</w:t>
      </w:r>
      <w:r>
        <w:rPr>
          <w:rFonts w:ascii="仿宋_GB2312" w:hAnsi="仿宋" w:eastAsia="仿宋_GB2312"/>
          <w:sz w:val="28"/>
          <w:szCs w:val="28"/>
        </w:rPr>
        <w:t>5</w:t>
      </w:r>
      <w:r>
        <w:rPr>
          <w:rFonts w:hint="eastAsia" w:ascii="仿宋_GB2312" w:hAnsi="仿宋" w:eastAsia="仿宋_GB2312"/>
          <w:sz w:val="28"/>
          <w:szCs w:val="28"/>
        </w:rPr>
        <w:t>个项目将同步进入科技（社科）竞赛的答辩环节，指标单列，不占用学院推荐的校级复赛指标。</w:t>
      </w:r>
    </w:p>
    <w:p w14:paraId="4A8A40F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六、奖项设置</w:t>
      </w:r>
    </w:p>
    <w:p w14:paraId="34EC349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奖项设置。设特等奖、一等奖、二等奖和三等奖，根据竞赛成绩与报名作品数量，前10%（含10%）的项目授予特等奖和一等奖（特等奖约3%-5%）、10%至18%（含18%）的项目授予二等奖，18%至30%（含30%）的项目授予三等奖。校级组委会根据竞赛各组报名作品数量，在评审中对各个组别进行适当的合并与调整。对于获得一等奖以上作品的指导教师授予“北京科技大学第二十六届‘摇篮杯’大学生创新创业竞赛科技（社科）竞赛优秀指导教师”。</w:t>
      </w:r>
    </w:p>
    <w:p w14:paraId="64AADA1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2.学分与奖学金。对参加此次竞赛的学生，给予科技创新学分认定，可获得《北京科技大学本科生科技创新和学术实践教学工作管理办法》（校教发﹝201</w:t>
      </w:r>
      <w:r>
        <w:rPr>
          <w:rFonts w:hint="eastAsia" w:ascii="仿宋_GB2312" w:hAnsi="仿宋" w:eastAsia="仿宋_GB2312"/>
          <w:sz w:val="28"/>
          <w:szCs w:val="28"/>
          <w:lang w:eastAsia="zh"/>
        </w:rPr>
        <w:t>7</w:t>
      </w:r>
      <w:r>
        <w:rPr>
          <w:rFonts w:hint="eastAsia" w:ascii="仿宋_GB2312" w:hAnsi="仿宋" w:eastAsia="仿宋_GB2312"/>
          <w:sz w:val="28"/>
          <w:szCs w:val="28"/>
        </w:rPr>
        <w:t>﹞2</w:t>
      </w:r>
      <w:r>
        <w:rPr>
          <w:rFonts w:hint="eastAsia" w:ascii="仿宋_GB2312" w:hAnsi="仿宋" w:eastAsia="仿宋_GB2312"/>
          <w:sz w:val="28"/>
          <w:szCs w:val="28"/>
          <w:lang w:eastAsia="zh"/>
        </w:rPr>
        <w:t>4</w:t>
      </w:r>
      <w:r>
        <w:rPr>
          <w:rFonts w:hint="eastAsia" w:ascii="仿宋_GB2312" w:hAnsi="仿宋" w:eastAsia="仿宋_GB2312"/>
          <w:sz w:val="28"/>
          <w:szCs w:val="28"/>
        </w:rPr>
        <w:t>号 校团发﹝</w:t>
      </w:r>
      <w:r>
        <w:rPr>
          <w:rFonts w:hint="eastAsia" w:ascii="仿宋_GB2312" w:hAnsi="仿宋" w:eastAsia="仿宋_GB2312"/>
          <w:sz w:val="28"/>
          <w:szCs w:val="28"/>
          <w:lang w:eastAsia="zh"/>
        </w:rPr>
        <w:t>2017﹞65号）</w:t>
      </w:r>
      <w:r>
        <w:rPr>
          <w:rFonts w:hint="eastAsia" w:ascii="仿宋_GB2312" w:hAnsi="仿宋" w:eastAsia="仿宋_GB2312"/>
          <w:sz w:val="28"/>
          <w:szCs w:val="28"/>
        </w:rPr>
        <w:t>中规定的相应科技创新学分。推荐保送免试硕士研究生时，学院可参照当年教务处发布的本科毕业生推免工作通知给予一定加分。对符合《北京科技大学学科、科技竞赛奖学金实施办法》（校发〔2018〕76号）的学生，可获得相应的奖学金。</w:t>
      </w:r>
    </w:p>
    <w:p w14:paraId="097DEF5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七、其他</w:t>
      </w:r>
    </w:p>
    <w:p w14:paraId="042A230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本附件所涉及条款的最终解释权归北京科技大学第二十六届“摇篮杯”</w:t>
      </w:r>
      <w:bookmarkStart w:id="3" w:name="_GoBack"/>
      <w:bookmarkEnd w:id="3"/>
      <w:r>
        <w:rPr>
          <w:rFonts w:hint="eastAsia" w:ascii="仿宋_GB2312" w:hAnsi="仿宋" w:eastAsia="仿宋_GB2312"/>
          <w:sz w:val="28"/>
          <w:szCs w:val="28"/>
        </w:rPr>
        <w:t>大学生创新创业竞赛组委会所有。</w:t>
      </w:r>
    </w:p>
    <w:sectPr>
      <w:footerReference r:id="rId3" w:type="default"/>
      <w:pgSz w:w="11906" w:h="16838"/>
      <w:pgMar w:top="1440" w:right="1418" w:bottom="1440" w:left="1418"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hAnsi="仿宋_GB2312" w:eastAsia="仿宋_GB2312" w:cs="仿宋_GB2312"/>
        <w:sz w:val="21"/>
        <w:szCs w:val="21"/>
      </w:rPr>
      <w:id w:val="1877281544"/>
    </w:sdtPr>
    <w:sdtEndPr>
      <w:rPr>
        <w:rFonts w:hint="eastAsia" w:ascii="仿宋_GB2312" w:eastAsia="仿宋_GB2312"/>
        <w:sz w:val="21"/>
      </w:rPr>
    </w:sdtEndPr>
    <w:sdtContent>
      <w:p w14:paraId="3F293C20">
        <w:pPr>
          <w:pStyle w:val="3"/>
          <w:jc w:val="center"/>
          <w:rPr>
            <w:rFonts w:ascii="仿宋_GB2312" w:eastAsia="仿宋_GB2312"/>
            <w:sz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PAGE   \* MERGEFORMAT</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lang w:val="zh-CN"/>
          </w:rPr>
          <w:t>1</w:t>
        </w:r>
        <w:r>
          <w:rPr>
            <w:rFonts w:hint="eastAsia" w:ascii="仿宋_GB2312" w:hAnsi="仿宋_GB2312" w:eastAsia="仿宋_GB2312" w:cs="仿宋_GB2312"/>
            <w:sz w:val="21"/>
            <w:szCs w:val="21"/>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0MDNiNmJjNTY5ZjQzZjEwNmQzMGU4M2Q5NzAyMTQifQ=="/>
  </w:docVars>
  <w:rsids>
    <w:rsidRoot w:val="00606182"/>
    <w:rsid w:val="00012B95"/>
    <w:rsid w:val="00055998"/>
    <w:rsid w:val="00067473"/>
    <w:rsid w:val="00073D20"/>
    <w:rsid w:val="000E7965"/>
    <w:rsid w:val="001150AA"/>
    <w:rsid w:val="0013363F"/>
    <w:rsid w:val="0019098F"/>
    <w:rsid w:val="001A18ED"/>
    <w:rsid w:val="001C0A58"/>
    <w:rsid w:val="00207012"/>
    <w:rsid w:val="002419FD"/>
    <w:rsid w:val="002764F4"/>
    <w:rsid w:val="0029633B"/>
    <w:rsid w:val="002C286F"/>
    <w:rsid w:val="002C6A05"/>
    <w:rsid w:val="002E01C1"/>
    <w:rsid w:val="002E4A44"/>
    <w:rsid w:val="002E5FB0"/>
    <w:rsid w:val="00321B0D"/>
    <w:rsid w:val="00332977"/>
    <w:rsid w:val="00337EBE"/>
    <w:rsid w:val="00351B57"/>
    <w:rsid w:val="003648FB"/>
    <w:rsid w:val="003E38D9"/>
    <w:rsid w:val="00401BBD"/>
    <w:rsid w:val="00447DCC"/>
    <w:rsid w:val="0048229C"/>
    <w:rsid w:val="004B5AD1"/>
    <w:rsid w:val="004C0F63"/>
    <w:rsid w:val="004C5E5E"/>
    <w:rsid w:val="004D6270"/>
    <w:rsid w:val="004E20EB"/>
    <w:rsid w:val="004E7FAB"/>
    <w:rsid w:val="005273D5"/>
    <w:rsid w:val="005831B3"/>
    <w:rsid w:val="00584522"/>
    <w:rsid w:val="0058625A"/>
    <w:rsid w:val="00592990"/>
    <w:rsid w:val="005A1B98"/>
    <w:rsid w:val="005B121D"/>
    <w:rsid w:val="005B1567"/>
    <w:rsid w:val="005D171E"/>
    <w:rsid w:val="0060171C"/>
    <w:rsid w:val="00606182"/>
    <w:rsid w:val="00613C84"/>
    <w:rsid w:val="0062014D"/>
    <w:rsid w:val="00624678"/>
    <w:rsid w:val="006359DA"/>
    <w:rsid w:val="006832AC"/>
    <w:rsid w:val="006957C2"/>
    <w:rsid w:val="006C4462"/>
    <w:rsid w:val="006D50C9"/>
    <w:rsid w:val="00705833"/>
    <w:rsid w:val="00706ED2"/>
    <w:rsid w:val="007213E6"/>
    <w:rsid w:val="007316F1"/>
    <w:rsid w:val="00751163"/>
    <w:rsid w:val="00763206"/>
    <w:rsid w:val="00815880"/>
    <w:rsid w:val="00822FAB"/>
    <w:rsid w:val="00852F97"/>
    <w:rsid w:val="00891F5F"/>
    <w:rsid w:val="008E7716"/>
    <w:rsid w:val="009244A1"/>
    <w:rsid w:val="00953795"/>
    <w:rsid w:val="00954BCA"/>
    <w:rsid w:val="00961C5B"/>
    <w:rsid w:val="0096286A"/>
    <w:rsid w:val="009A41C4"/>
    <w:rsid w:val="009E4F5A"/>
    <w:rsid w:val="009E7508"/>
    <w:rsid w:val="00A47666"/>
    <w:rsid w:val="00AD42EF"/>
    <w:rsid w:val="00AF6E20"/>
    <w:rsid w:val="00B46EC3"/>
    <w:rsid w:val="00B93C40"/>
    <w:rsid w:val="00B97DC6"/>
    <w:rsid w:val="00BE5D07"/>
    <w:rsid w:val="00BE7505"/>
    <w:rsid w:val="00BF3745"/>
    <w:rsid w:val="00C15CB2"/>
    <w:rsid w:val="00C27489"/>
    <w:rsid w:val="00C3650B"/>
    <w:rsid w:val="00C41276"/>
    <w:rsid w:val="00C61A36"/>
    <w:rsid w:val="00C67841"/>
    <w:rsid w:val="00C93B72"/>
    <w:rsid w:val="00D00941"/>
    <w:rsid w:val="00D5332A"/>
    <w:rsid w:val="00D63478"/>
    <w:rsid w:val="00DB0509"/>
    <w:rsid w:val="00DD4D8A"/>
    <w:rsid w:val="00DD7056"/>
    <w:rsid w:val="00DE677B"/>
    <w:rsid w:val="00E31A63"/>
    <w:rsid w:val="00E86EBA"/>
    <w:rsid w:val="00EB41DF"/>
    <w:rsid w:val="00ED6330"/>
    <w:rsid w:val="00EE1198"/>
    <w:rsid w:val="00EE538B"/>
    <w:rsid w:val="00F356B0"/>
    <w:rsid w:val="00F63B5B"/>
    <w:rsid w:val="00FE0A04"/>
    <w:rsid w:val="0B545A73"/>
    <w:rsid w:val="0C063DA0"/>
    <w:rsid w:val="0C8F3D96"/>
    <w:rsid w:val="0D533015"/>
    <w:rsid w:val="0F8C280E"/>
    <w:rsid w:val="0FF90978"/>
    <w:rsid w:val="127F5718"/>
    <w:rsid w:val="13944BBF"/>
    <w:rsid w:val="168B7CC4"/>
    <w:rsid w:val="175C6F6A"/>
    <w:rsid w:val="18C66D91"/>
    <w:rsid w:val="18E22F09"/>
    <w:rsid w:val="190207C9"/>
    <w:rsid w:val="191E4E1F"/>
    <w:rsid w:val="1EE5265D"/>
    <w:rsid w:val="25186BC6"/>
    <w:rsid w:val="26D138EE"/>
    <w:rsid w:val="2E2E435C"/>
    <w:rsid w:val="2F9236BA"/>
    <w:rsid w:val="2FDE1A25"/>
    <w:rsid w:val="308B2942"/>
    <w:rsid w:val="33010C9A"/>
    <w:rsid w:val="340C1162"/>
    <w:rsid w:val="34C5219B"/>
    <w:rsid w:val="35ED30FE"/>
    <w:rsid w:val="36011C39"/>
    <w:rsid w:val="36B204FD"/>
    <w:rsid w:val="376F2F31"/>
    <w:rsid w:val="37FFA4B8"/>
    <w:rsid w:val="3917609E"/>
    <w:rsid w:val="39393D3B"/>
    <w:rsid w:val="39CE564E"/>
    <w:rsid w:val="3A577D39"/>
    <w:rsid w:val="3BA746E7"/>
    <w:rsid w:val="3D29776B"/>
    <w:rsid w:val="3E60A8E0"/>
    <w:rsid w:val="424F0237"/>
    <w:rsid w:val="44E4666D"/>
    <w:rsid w:val="480203E9"/>
    <w:rsid w:val="48054931"/>
    <w:rsid w:val="489C2980"/>
    <w:rsid w:val="4B95046D"/>
    <w:rsid w:val="4CBF59F6"/>
    <w:rsid w:val="4D4128AF"/>
    <w:rsid w:val="4E485577"/>
    <w:rsid w:val="4F6B59C1"/>
    <w:rsid w:val="509C604E"/>
    <w:rsid w:val="509C7DFC"/>
    <w:rsid w:val="52B26596"/>
    <w:rsid w:val="54AD25D8"/>
    <w:rsid w:val="55BD4A9D"/>
    <w:rsid w:val="55C40535"/>
    <w:rsid w:val="58B55EFF"/>
    <w:rsid w:val="5BE663CF"/>
    <w:rsid w:val="5DD961EC"/>
    <w:rsid w:val="606C3347"/>
    <w:rsid w:val="61296823"/>
    <w:rsid w:val="61F93300"/>
    <w:rsid w:val="63AB23D8"/>
    <w:rsid w:val="65BD63F3"/>
    <w:rsid w:val="670C74B5"/>
    <w:rsid w:val="68B735B6"/>
    <w:rsid w:val="6BCF11A5"/>
    <w:rsid w:val="6D184DC4"/>
    <w:rsid w:val="723904CF"/>
    <w:rsid w:val="728C1627"/>
    <w:rsid w:val="72F3566F"/>
    <w:rsid w:val="75D9274E"/>
    <w:rsid w:val="76E36300"/>
    <w:rsid w:val="77F7EB26"/>
    <w:rsid w:val="77F972D9"/>
    <w:rsid w:val="78034139"/>
    <w:rsid w:val="78E977D3"/>
    <w:rsid w:val="79706276"/>
    <w:rsid w:val="7A822759"/>
    <w:rsid w:val="7C3862A9"/>
    <w:rsid w:val="7D3905FD"/>
    <w:rsid w:val="7EC46650"/>
    <w:rsid w:val="7EFECAC7"/>
    <w:rsid w:val="AB77CE33"/>
    <w:rsid w:val="ADDFD593"/>
    <w:rsid w:val="DBEDC6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semiHidden/>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2"/>
    <w:semiHidden/>
    <w:unhideWhenUsed/>
    <w:qFormat/>
    <w:uiPriority w:val="99"/>
    <w:rPr>
      <w:b/>
      <w:bCs/>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文字 字符"/>
    <w:basedOn w:val="7"/>
    <w:link w:val="2"/>
    <w:semiHidden/>
    <w:qFormat/>
    <w:uiPriority w:val="99"/>
    <w:rPr>
      <w:kern w:val="2"/>
      <w:sz w:val="21"/>
      <w:szCs w:val="22"/>
    </w:rPr>
  </w:style>
  <w:style w:type="character" w:customStyle="1" w:styleId="12">
    <w:name w:val="批注主题 字符"/>
    <w:basedOn w:val="11"/>
    <w:link w:val="5"/>
    <w:semiHidden/>
    <w:qFormat/>
    <w:uiPriority w:val="99"/>
    <w:rPr>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3202</Words>
  <Characters>3357</Characters>
  <Lines>24</Lines>
  <Paragraphs>6</Paragraphs>
  <TotalTime>3</TotalTime>
  <ScaleCrop>false</ScaleCrop>
  <LinksUpToDate>false</LinksUpToDate>
  <CharactersWithSpaces>3358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2022-10-28T10:18:00Z</dcterms:created>
  <dc:creator>Guest</dc:creator>
  <cp:lastModifiedBy>Administrator</cp:lastModifiedBy>
  <dcterms:modified xsi:type="dcterms:W3CDTF">2024-11-20T14:08:10Z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2E7F28DC540D0F64CC093C67021F4BCD_43</vt:lpwstr>
  </property>
</Properties>
</file>