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74029">
      <w:pPr>
        <w:adjustRightInd w:val="0"/>
        <w:snapToGrid w:val="0"/>
        <w:spacing w:line="360" w:lineRule="auto"/>
        <w:rPr>
          <w:rFonts w:hint="eastAsia" w:ascii="宋体" w:hAnsi="宋体" w:eastAsia="宋体"/>
          <w:sz w:val="28"/>
          <w:szCs w:val="28"/>
        </w:rPr>
      </w:pPr>
      <w:r>
        <w:rPr>
          <w:rFonts w:hint="eastAsia" w:ascii="宋体" w:hAnsi="宋体" w:eastAsia="宋体"/>
          <w:sz w:val="28"/>
          <w:szCs w:val="28"/>
        </w:rPr>
        <w:t>附件</w:t>
      </w:r>
      <w:r>
        <w:rPr>
          <w:rFonts w:hint="eastAsia" w:ascii="宋体" w:hAnsi="宋体" w:eastAsia="宋体"/>
          <w:sz w:val="28"/>
          <w:szCs w:val="28"/>
          <w:lang w:eastAsia="zh"/>
        </w:rPr>
        <w:t>5</w:t>
      </w:r>
      <w:r>
        <w:rPr>
          <w:rFonts w:hint="eastAsia" w:ascii="宋体" w:hAnsi="宋体" w:eastAsia="宋体"/>
          <w:sz w:val="28"/>
          <w:szCs w:val="28"/>
        </w:rPr>
        <w:t>:</w:t>
      </w:r>
    </w:p>
    <w:p w14:paraId="110811E2">
      <w:pPr>
        <w:adjustRightInd w:val="0"/>
        <w:snapToGrid w:val="0"/>
        <w:spacing w:line="360" w:lineRule="auto"/>
        <w:jc w:val="center"/>
        <w:rPr>
          <w:rFonts w:hint="eastAsia" w:ascii="华文中宋" w:hAnsi="华文中宋" w:eastAsia="华文中宋"/>
          <w:b/>
          <w:bCs/>
          <w:sz w:val="32"/>
          <w:szCs w:val="32"/>
        </w:rPr>
      </w:pPr>
      <w:r>
        <w:rPr>
          <w:rFonts w:hint="eastAsia" w:ascii="华文中宋" w:hAnsi="华文中宋" w:eastAsia="华文中宋"/>
          <w:b/>
          <w:bCs/>
          <w:sz w:val="32"/>
          <w:szCs w:val="32"/>
        </w:rPr>
        <w:t>北京科技大学“摇篮杯”众山精密材料大模型命题竞赛比赛方案</w:t>
      </w:r>
    </w:p>
    <w:p w14:paraId="333278D3">
      <w:pPr>
        <w:adjustRightInd w:val="0"/>
        <w:snapToGrid w:val="0"/>
        <w:spacing w:line="360" w:lineRule="auto"/>
        <w:ind w:firstLine="560" w:firstLineChars="200"/>
        <w:jc w:val="center"/>
        <w:rPr>
          <w:rFonts w:hint="eastAsia" w:ascii="仿宋_GB2312" w:hAnsi="仿宋" w:eastAsia="仿宋_GB2312"/>
          <w:sz w:val="28"/>
          <w:szCs w:val="28"/>
        </w:rPr>
      </w:pPr>
    </w:p>
    <w:p w14:paraId="026FCC4F">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北京科技大学第二十六届“摇篮杯”大学生创新创业竞赛新设广州众山精密材料大模型命题竞赛，具体实施方案如下。</w:t>
      </w:r>
    </w:p>
    <w:p w14:paraId="11FCD01E">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一、竞赛介绍</w:t>
      </w:r>
    </w:p>
    <w:p w14:paraId="4989343F">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近年来，随着人工智能技术发展，尤其是大模型在自然语言处理上的巨大成功，昭示着智能时代的到来。人工智能技术的成熟为其他垂直行业的从业者提供了历史性的机遇和挑战。人工智能赋能科学发展（AI for science）极有可能是下一阶段技术发展的重点。在此背景下，跨学科的深度整合变得越来越重要。材料科学与人工智能的结合，不仅是推动学术进步的重要途径，也是新材料设计、先进制造以及可持续发展等重大社会需求的解决方案。</w:t>
      </w:r>
    </w:p>
    <w:p w14:paraId="6AF681F2">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广州众山精密科技有限公司成立于2018年3月，是一家研发及生产高精密金属型材、高精密板带材、多金属复合材料的高新技术企业。目前，众山精密员工近2000人，其中技术人员超200人，是多家世界著名消费电子品牌主要的精密金属材料供应商，目标发展成为世界领先的应用材料创新平台。人工智能技术目前是广州众山精密在材料研发和制造领域发展的重要抓手，是公司实现远景目标的重要手段。</w:t>
      </w:r>
    </w:p>
    <w:p w14:paraId="0DE419DA">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通过本次比赛，我们鼓励材料、物理、化学、计算机、信息等学科背景的学生跨学科组队，充分发挥各自领域的优势，从多个角度探索人工智能在材料科学中的应用。本次竞赛旨在将学生创新实践和材料产业发展有机结合，促进学生了解产业发展需求，鼓励学生探索产业前沿问题，培养学生解决产业问题的能力，鼓励学生参与跨学科交流和协作，通过校企协同实现创新创业人才培养。</w:t>
      </w:r>
    </w:p>
    <w:p w14:paraId="2EBA7596">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二、竞赛内容</w:t>
      </w:r>
    </w:p>
    <w:p w14:paraId="6D222D3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本次竞赛赛题由广州众山精密结合企业实际提出。参赛团队可自主选择命题，并独立完成项目。竞赛赛题共分为三个赛道，分别为：</w:t>
      </w:r>
    </w:p>
    <w:p w14:paraId="15F6E472">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1.赛道一：高质量数据集构建</w:t>
      </w:r>
    </w:p>
    <w:p w14:paraId="5BE816B6">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据无论在训练机器学习模型还是在数据分析中都是至关重要的。随着人工智能技术的发展，高质量数据成为推动创新的核心要素。数据集构建赛道旨在鼓励参赛者通过创新的方式进行数据采集、组织、解析、分析。参赛者可以针对特定领域或应用场景设计出数据收集方案，并构建具有应用价值的数据集，助力算法优化与智能系统的开发。</w:t>
      </w:r>
    </w:p>
    <w:p w14:paraId="449CD05E">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2.赛道二：AI赋能材料科学的调研与案例</w:t>
      </w:r>
    </w:p>
    <w:p w14:paraId="4F28B40C">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多项研究表明，人工智能技术能有效提升材料专业的研发能力。其不仅可以通过分析海量数据加速新材料的筛选，还能优化材料的性能预测和实验设计，大幅缩短研发周期。本赛道旨在通过深入调研和案例分析，探索人工智能技术在材料专业中的应用情况与挑战。参赛者将从材料专业的实际需求出发，讨论人工智能对专业和行业赋能的方式和前景，评估技术方案的可行性和创新性，并提出改进建议或新应用方向。</w:t>
      </w:r>
    </w:p>
    <w:p w14:paraId="19574422">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3.赛道三：大模型应用</w:t>
      </w:r>
    </w:p>
    <w:p w14:paraId="54459A6C">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大规模预训练模型在自然语言处理、计算机视觉等领域取得了突破性进展。利用大模型在垂直领域落地正在成为下一步的热点。 本赛道旨在推动参赛者利用基座大模型的能力，结合智能体、检索增强、多模态能力、提示词工程微调等大模型技术的最新发展状况，以及材料专业的实际需求，开发出高效和创新的应用。在此过程中，参赛者将从技术和场景两方面出发，关注模型的效率提升、准确性增强以及适应复杂任务的能力。</w:t>
      </w:r>
    </w:p>
    <w:p w14:paraId="40F199E5">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上赛道的设置初衷是在于推动人工智能技术在材料科学领域的应用，参赛队伍可以围绕三个赛道的核心主题提出创新性的、高质量的项目。因此，本次竞赛面向对材料科学、人工智能技术及其交叉领域感兴趣的本科生、研究生及博士生开放。</w:t>
      </w:r>
    </w:p>
    <w:p w14:paraId="552636CD">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竞赛原则上不对参赛者的专业进行限制，并鼓励参赛者通过跨学科的协作共同探索人工智能在材料科学中的应用。因此，本次竞赛特别鼓励学生根据各自学科的特长组建多元化的团队，最大化发挥不同领域的优势，共同解决材料科学领域中的复杂问题。</w:t>
      </w:r>
    </w:p>
    <w:p w14:paraId="4F291FB2">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参赛者可来自以下几类专业：</w:t>
      </w:r>
    </w:p>
    <w:p w14:paraId="7BBCDDD3">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1.材料相关专业：包括但不限于材料科学与工程、物理类、化学类等相关专业的学生；</w:t>
      </w:r>
    </w:p>
    <w:p w14:paraId="10FF28B1">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2.人工智能及相关专业：计算机科学、通信工程、电子信息、电气工程、控制及自动化等专业的学生；</w:t>
      </w:r>
    </w:p>
    <w:p w14:paraId="4EAD7671">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3.使用智能技术或对其应用感兴趣的学生：无论是否具备人工智能或材料科学的直接背景，任何在工作或研究中涉及智能技术，或对其应用有浓厚兴趣的学生都可以参与。</w:t>
      </w:r>
    </w:p>
    <w:p w14:paraId="55CCB67A">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三、参赛要求</w:t>
      </w:r>
    </w:p>
    <w:p w14:paraId="29814C86">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w:t>
      </w:r>
      <w:r>
        <w:rPr>
          <w:rFonts w:hint="eastAsia" w:ascii="仿宋_GB2312" w:hAnsi="仿宋" w:eastAsia="仿宋_GB2312"/>
          <w:color w:val="000000" w:themeColor="text1"/>
          <w:sz w:val="28"/>
          <w:szCs w:val="28"/>
          <w14:textFill>
            <w14:solidFill>
              <w14:schemeClr w14:val="tx1"/>
            </w14:solidFill>
          </w14:textFill>
        </w:rPr>
        <w:t>申报作品采用网络申报形式</w:t>
      </w:r>
      <w:r>
        <w:rPr>
          <w:rFonts w:hint="eastAsia" w:ascii="仿宋_GB2312" w:hAnsi="仿宋" w:eastAsia="仿宋_GB2312"/>
          <w:sz w:val="28"/>
          <w:szCs w:val="28"/>
        </w:rPr>
        <w:t>，请各位负责人按照团队成员贡献度进行排序，报名网站的成员顺序默认为团队成员贡献度排序及获奖证书成员排序，若出现因为项目填报信息错误而出现的问题，责任将由项目团队自行承担；</w:t>
      </w:r>
    </w:p>
    <w:p w14:paraId="17A77207">
      <w:pPr>
        <w:adjustRightInd w:val="0"/>
        <w:snapToGrid w:val="0"/>
        <w:spacing w:line="360" w:lineRule="auto"/>
        <w:ind w:firstLine="560" w:firstLineChars="200"/>
        <w:rPr>
          <w:rFonts w:hint="eastAsia" w:ascii="仿宋_GB2312" w:hAnsi="仿宋" w:eastAsia="仿宋_GB2312"/>
          <w:sz w:val="28"/>
          <w:szCs w:val="28"/>
          <w:lang w:eastAsia="zh"/>
        </w:rPr>
      </w:pPr>
      <w:r>
        <w:rPr>
          <w:rFonts w:hint="eastAsia" w:ascii="仿宋_GB2312" w:hAnsi="仿宋" w:eastAsia="仿宋_GB2312"/>
          <w:sz w:val="28"/>
          <w:szCs w:val="28"/>
        </w:rPr>
        <w:t>2.参赛学生须为在校正式注册的本科生、硕士研究生（含MBA）、博士研究生。具有我校学籍的国际留学生均可参赛</w:t>
      </w:r>
      <w:r>
        <w:rPr>
          <w:rFonts w:hint="eastAsia" w:ascii="仿宋_GB2312" w:hAnsi="仿宋" w:eastAsia="仿宋_GB2312"/>
          <w:sz w:val="28"/>
          <w:szCs w:val="28"/>
          <w:lang w:eastAsia="zh"/>
        </w:rPr>
        <w:t>；</w:t>
      </w:r>
    </w:p>
    <w:p w14:paraId="1EFC1C18">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3.比赛分为初审阶段和决赛阶段。在初审阶段，各参赛队伍需提交Word版的初步方案。提交完成后进入初审环节。在决赛阶段，所有项目需提交项目介绍PPT以及项目产生的电子资料（论文、程序、报告、数据集、源代码、说明书等）。提交完成后进入终审环节，其中优秀的项目将参加答辩环节，答辩用的PPT可选用已提交的或重新提交。</w:t>
      </w:r>
    </w:p>
    <w:p w14:paraId="612E9521">
      <w:pPr>
        <w:adjustRightInd w:val="0"/>
        <w:snapToGrid w:val="0"/>
        <w:spacing w:line="360" w:lineRule="auto"/>
        <w:ind w:firstLine="560" w:firstLineChars="200"/>
        <w:rPr>
          <w:rFonts w:hint="eastAsia" w:ascii="仿宋_GB2312" w:hAnsi="仿宋" w:eastAsia="仿宋_GB2312"/>
          <w:sz w:val="28"/>
          <w:szCs w:val="28"/>
          <w:lang w:eastAsia="zh"/>
        </w:rPr>
      </w:pPr>
      <w:r>
        <w:rPr>
          <w:rFonts w:hint="eastAsia" w:ascii="仿宋_GB2312" w:hAnsi="仿宋" w:eastAsia="仿宋_GB2312"/>
          <w:sz w:val="28"/>
          <w:szCs w:val="28"/>
        </w:rPr>
        <w:t>所有提交的报告规范参考北京科技大学学位论文格式</w:t>
      </w:r>
      <w:r>
        <w:rPr>
          <w:rFonts w:hint="eastAsia" w:ascii="仿宋_GB2312" w:hAnsi="仿宋" w:eastAsia="仿宋_GB2312"/>
          <w:sz w:val="28"/>
          <w:szCs w:val="28"/>
          <w:lang w:eastAsia="zh"/>
        </w:rPr>
        <w:t>；</w:t>
      </w:r>
    </w:p>
    <w:p w14:paraId="63E99686">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4.参赛项目的项目团队的指导老师最多三名；</w:t>
      </w:r>
    </w:p>
    <w:p w14:paraId="134075BD">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5.每人只能担任一个项目的负责人。</w:t>
      </w:r>
    </w:p>
    <w:p w14:paraId="2AF18C15">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四、竞赛安排</w:t>
      </w:r>
    </w:p>
    <w:p w14:paraId="4E80CB23">
      <w:pPr>
        <w:adjustRightInd w:val="0"/>
        <w:snapToGrid w:val="0"/>
        <w:spacing w:line="360" w:lineRule="auto"/>
        <w:ind w:firstLine="562" w:firstLineChars="200"/>
        <w:rPr>
          <w:rFonts w:hint="eastAsia" w:ascii="仿宋_GB2312" w:hAnsi="仿宋"/>
          <w:b/>
          <w:bCs/>
          <w:sz w:val="28"/>
          <w:szCs w:val="28"/>
        </w:rPr>
      </w:pPr>
      <w:r>
        <w:rPr>
          <w:rFonts w:hint="eastAsia" w:ascii="仿宋_GB2312" w:hAnsi="仿宋" w:eastAsia="仿宋_GB2312"/>
          <w:b/>
          <w:bCs/>
          <w:sz w:val="28"/>
          <w:szCs w:val="28"/>
        </w:rPr>
        <w:t>1.赛题预发布及宣讲</w:t>
      </w:r>
    </w:p>
    <w:p w14:paraId="503A3DA0">
      <w:pPr>
        <w:adjustRightInd w:val="0"/>
        <w:snapToGrid w:val="0"/>
        <w:spacing w:line="360" w:lineRule="auto"/>
        <w:ind w:firstLine="560" w:firstLineChars="200"/>
        <w:rPr>
          <w:rFonts w:hint="eastAsia" w:ascii="仿宋_GB2312" w:hAnsi="仿宋" w:eastAsia="仿宋_GB2312"/>
          <w:sz w:val="28"/>
          <w:szCs w:val="28"/>
          <w:highlight w:val="yellow"/>
        </w:rPr>
      </w:pPr>
      <w:r>
        <w:rPr>
          <w:rFonts w:hint="eastAsia" w:ascii="仿宋_GB2312" w:hAnsi="仿宋" w:eastAsia="仿宋_GB2312"/>
          <w:sz w:val="28"/>
          <w:szCs w:val="28"/>
        </w:rPr>
        <w:t>时间安排：2024年10月20日至2024年10月27日</w:t>
      </w:r>
    </w:p>
    <w:p w14:paraId="655B043B">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本次竞赛赛题及相关要求详见附件。各学院广泛宣传、组织动员学生积极参与比赛，并邀请教师参与指导。学生可查阅附件查看赛题，根据赛题进行初步调研。组委会于1</w:t>
      </w:r>
      <w:r>
        <w:rPr>
          <w:rFonts w:ascii="仿宋_GB2312" w:hAnsi="仿宋" w:eastAsia="仿宋_GB2312"/>
          <w:sz w:val="28"/>
          <w:szCs w:val="28"/>
        </w:rPr>
        <w:t>0</w:t>
      </w:r>
      <w:r>
        <w:rPr>
          <w:rFonts w:hint="eastAsia" w:ascii="仿宋_GB2312" w:hAnsi="仿宋" w:eastAsia="仿宋_GB2312"/>
          <w:sz w:val="28"/>
          <w:szCs w:val="28"/>
        </w:rPr>
        <w:t>月2</w:t>
      </w:r>
      <w:r>
        <w:rPr>
          <w:rFonts w:ascii="仿宋_GB2312" w:hAnsi="仿宋" w:eastAsia="仿宋_GB2312"/>
          <w:sz w:val="28"/>
          <w:szCs w:val="28"/>
        </w:rPr>
        <w:t>5</w:t>
      </w:r>
      <w:r>
        <w:rPr>
          <w:rFonts w:hint="eastAsia" w:ascii="仿宋_GB2312" w:hAnsi="仿宋" w:eastAsia="仿宋_GB2312"/>
          <w:sz w:val="28"/>
          <w:szCs w:val="28"/>
        </w:rPr>
        <w:t>日晚安排宣讲交流活动，用于对赛题具体要求进行说明和答疑。宣讲具体时间、地点以及会议链接见公众号。同时，组委会将开赛事官方微信群，用于日常通知和交流。</w:t>
      </w:r>
    </w:p>
    <w:p w14:paraId="6EFEA533">
      <w:pPr>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2.团队组建与初步方案提交</w:t>
      </w:r>
    </w:p>
    <w:p w14:paraId="3A14883E">
      <w:pPr>
        <w:adjustRightInd w:val="0"/>
        <w:snapToGrid w:val="0"/>
        <w:spacing w:line="360" w:lineRule="auto"/>
        <w:ind w:firstLine="560" w:firstLineChars="200"/>
        <w:rPr>
          <w:rFonts w:hint="eastAsia" w:ascii="仿宋_GB2312" w:hAnsi="仿宋" w:eastAsia="仿宋_GB2312"/>
          <w:sz w:val="28"/>
          <w:szCs w:val="28"/>
          <w:highlight w:val="yellow"/>
        </w:rPr>
      </w:pPr>
      <w:r>
        <w:rPr>
          <w:rFonts w:hint="eastAsia" w:ascii="仿宋_GB2312" w:hAnsi="仿宋" w:eastAsia="仿宋_GB2312"/>
          <w:sz w:val="28"/>
          <w:szCs w:val="28"/>
        </w:rPr>
        <w:t>时间安排：2024年10月27至2024年11月24日</w:t>
      </w:r>
    </w:p>
    <w:p w14:paraId="48BC34EC">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学生自10月27日开始可以选定赛题并组建团队，并准备于四周后提出初步方案参加初步评审。参赛队伍以组委会指定的方式进行组队及作品申报，具体提交方式将于指定网站提前公布。报名及初步方案提交截至2024年11月24日晚24:00，报名网站为</w:t>
      </w:r>
      <w:r>
        <w:rPr>
          <w:rFonts w:ascii="仿宋_GB2312" w:hAnsi="仿宋" w:eastAsia="仿宋_GB2312"/>
          <w:sz w:val="28"/>
          <w:szCs w:val="28"/>
        </w:rPr>
        <w:t>yaolanbei.tiaozhanbei.net</w:t>
      </w:r>
      <w:r>
        <w:rPr>
          <w:rFonts w:hint="eastAsia" w:ascii="仿宋_GB2312" w:hAnsi="仿宋" w:eastAsia="仿宋_GB2312"/>
          <w:sz w:val="28"/>
          <w:szCs w:val="28"/>
        </w:rPr>
        <w:t>。</w:t>
      </w:r>
    </w:p>
    <w:p w14:paraId="42071BE5">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为了确保参赛队伍对竞赛主题有清晰的理解，并能有针对性地提出创新方案，初步方案的提交将作为筛选的重要环节。以下是初步方案应包含的关键内容初步方案应包含：</w:t>
      </w:r>
    </w:p>
    <w:p w14:paraId="09E480D0">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①项目概述，简要介绍所选择的研究问题、目标</w:t>
      </w:r>
    </w:p>
    <w:p w14:paraId="7086A510">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②研究计划，简要描述初步的研究路线。</w:t>
      </w:r>
    </w:p>
    <w:p w14:paraId="02F3210C">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③团队构成与分工，每个成员的专业领域，以及分工职责</w:t>
      </w:r>
    </w:p>
    <w:p w14:paraId="55E427D1">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④项目可行性，包括资源、时间、潜在的技术挑战、解决思路等</w:t>
      </w:r>
    </w:p>
    <w:p w14:paraId="540494DE">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⑤预期成果及时间计划</w:t>
      </w:r>
    </w:p>
    <w:p w14:paraId="574D45A5">
      <w:pPr>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3.方案初审</w:t>
      </w:r>
    </w:p>
    <w:p w14:paraId="1F369335">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时间安排：2024年11月24至2024年12月1日</w:t>
      </w:r>
    </w:p>
    <w:p w14:paraId="0BBA2881">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组委会根据参赛队伍提交的初步方案对申报作品资格审查，防止出现抄袭、相同材料重复参赛等情况。同时，组委会组织赛题发布方以及相关专家对参赛作品进行内容审查</w:t>
      </w:r>
      <w:r>
        <w:rPr>
          <w:rFonts w:hint="eastAsia" w:ascii="仿宋_GB2312" w:hAnsi="仿宋" w:eastAsia="仿宋_GB2312"/>
          <w:sz w:val="28"/>
          <w:szCs w:val="28"/>
          <w:lang w:eastAsia="zh"/>
        </w:rPr>
        <w:t>。</w:t>
      </w:r>
      <w:r>
        <w:rPr>
          <w:rFonts w:hint="eastAsia" w:ascii="仿宋_GB2312" w:hAnsi="仿宋" w:eastAsia="仿宋_GB2312"/>
          <w:sz w:val="28"/>
          <w:szCs w:val="28"/>
        </w:rPr>
        <w:t>若参赛队伍无法满足</w:t>
      </w:r>
      <w:r>
        <w:rPr>
          <w:rFonts w:hint="eastAsia" w:ascii="仿宋_GB2312" w:hAnsi="仿宋" w:eastAsia="仿宋_GB2312"/>
          <w:sz w:val="28"/>
          <w:szCs w:val="28"/>
          <w:lang w:eastAsia="zh"/>
        </w:rPr>
        <w:t>参赛</w:t>
      </w:r>
      <w:r>
        <w:rPr>
          <w:rFonts w:hint="eastAsia" w:ascii="仿宋_GB2312" w:hAnsi="仿宋" w:eastAsia="仿宋_GB2312"/>
          <w:sz w:val="28"/>
          <w:szCs w:val="28"/>
        </w:rPr>
        <w:t>要求的，组委会将给予淘汰。</w:t>
      </w:r>
    </w:p>
    <w:p w14:paraId="031944BC">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参赛队伍通过方案初审并最终完成项目后，每队将获得参赛奖励金1000元。参赛奖励将于最终评审结束后发放。</w:t>
      </w:r>
    </w:p>
    <w:p w14:paraId="7FB0A4F1">
      <w:pPr>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4.项目终审、决赛答辩及评奖</w:t>
      </w:r>
    </w:p>
    <w:p w14:paraId="4B92DC30">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时间安排：2025年5月5日至2025年5月11日</w:t>
      </w:r>
    </w:p>
    <w:p w14:paraId="5C160CEE">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参赛队伍应于2025年5月5日晚24:00前以组委会指定的方式进行比赛结果的提交。组委会于5月11日前组织相关专家进行评审，其中选出优秀项目于同期组织答辩会，评委现场评分确定获奖项目。评委由广州众山精密专家及专业相关的学者教授、创新创业教育专家担任，评出特、一、二、三等奖。</w:t>
      </w:r>
    </w:p>
    <w:p w14:paraId="54FAEB17">
      <w:pPr>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注：具体时间节点请注意“北科大创新创业竞赛”微信公众号通知，根据客观情况进行调整。</w:t>
      </w:r>
    </w:p>
    <w:p w14:paraId="3919A906">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五、奖项设置</w:t>
      </w:r>
    </w:p>
    <w:p w14:paraId="3CA5B382">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1.奖项设置设特等奖、一等奖、二等奖和三等奖，所有奖项数量原则上为初审通过队伍数量的50%，具体各等次授奖名额可参考下表，将根据实际情况进行调整，表中奖励金额不含通过初审后的1</w:t>
      </w:r>
      <w:r>
        <w:rPr>
          <w:rFonts w:ascii="仿宋_GB2312" w:hAnsi="仿宋" w:eastAsia="仿宋_GB2312"/>
          <w:sz w:val="28"/>
          <w:szCs w:val="28"/>
        </w:rPr>
        <w:t>000</w:t>
      </w:r>
      <w:r>
        <w:rPr>
          <w:rFonts w:hint="eastAsia" w:ascii="仿宋_GB2312" w:hAnsi="仿宋" w:eastAsia="仿宋_GB2312"/>
          <w:sz w:val="28"/>
          <w:szCs w:val="28"/>
        </w:rPr>
        <w:t>元参赛奖励金，约评出3</w:t>
      </w:r>
      <w:r>
        <w:rPr>
          <w:rFonts w:ascii="仿宋_GB2312" w:hAnsi="仿宋" w:eastAsia="仿宋_GB2312"/>
          <w:sz w:val="28"/>
          <w:szCs w:val="28"/>
        </w:rPr>
        <w:t>0</w:t>
      </w:r>
      <w:r>
        <w:rPr>
          <w:rFonts w:hint="eastAsia" w:ascii="仿宋_GB2312" w:hAnsi="仿宋" w:eastAsia="仿宋_GB2312"/>
          <w:sz w:val="28"/>
          <w:szCs w:val="28"/>
        </w:rPr>
        <w:t>个左右的项目通过初审。组委会根据竞赛报名作品的数量和质量，在评审中对各个组别进行适当的合并与调整。</w:t>
      </w:r>
    </w:p>
    <w:p w14:paraId="28761297">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对于获得一等奖以上作品的指导教师授予“北京科技大学第二十六届‘摇篮杯’大学生创新创业竞赛广州众山精密产业命题竞赛优秀指导教师”。</w:t>
      </w:r>
    </w:p>
    <w:p w14:paraId="478AE689">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auto"/>
        <w:rPr>
          <w:rFonts w:hint="eastAsia" w:ascii="仿宋_GB2312" w:hAnsi="仿宋" w:eastAsia="仿宋_GB2312"/>
          <w:sz w:val="28"/>
          <w:szCs w:val="28"/>
        </w:rPr>
      </w:pPr>
    </w:p>
    <w:tbl>
      <w:tblPr>
        <w:tblStyle w:val="8"/>
        <w:tblW w:w="3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4"/>
        <w:gridCol w:w="1887"/>
        <w:gridCol w:w="1600"/>
        <w:gridCol w:w="1161"/>
      </w:tblGrid>
      <w:tr w14:paraId="18FF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522" w:type="pct"/>
            <w:vAlign w:val="center"/>
          </w:tcPr>
          <w:p w14:paraId="2BFAE14B">
            <w:pPr>
              <w:adjustRightInd w:val="0"/>
              <w:snapToGrid w:val="0"/>
              <w:spacing w:line="360" w:lineRule="auto"/>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奖励名称</w:t>
            </w:r>
          </w:p>
        </w:tc>
        <w:tc>
          <w:tcPr>
            <w:tcW w:w="1412" w:type="pct"/>
            <w:vAlign w:val="center"/>
          </w:tcPr>
          <w:p w14:paraId="24CB07BF">
            <w:pPr>
              <w:adjustRightInd w:val="0"/>
              <w:snapToGrid w:val="0"/>
              <w:spacing w:line="360" w:lineRule="auto"/>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奖励对象</w:t>
            </w:r>
          </w:p>
        </w:tc>
        <w:tc>
          <w:tcPr>
            <w:tcW w:w="1197" w:type="pct"/>
            <w:vAlign w:val="center"/>
          </w:tcPr>
          <w:p w14:paraId="1BF4DF4A">
            <w:pPr>
              <w:adjustRightInd w:val="0"/>
              <w:snapToGrid w:val="0"/>
              <w:spacing w:line="360" w:lineRule="auto"/>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奖励金额</w:t>
            </w:r>
          </w:p>
        </w:tc>
        <w:tc>
          <w:tcPr>
            <w:tcW w:w="869" w:type="pct"/>
            <w:vAlign w:val="center"/>
          </w:tcPr>
          <w:p w14:paraId="1C26D681">
            <w:pPr>
              <w:adjustRightInd w:val="0"/>
              <w:snapToGrid w:val="0"/>
              <w:spacing w:line="360" w:lineRule="auto"/>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名额</w:t>
            </w:r>
          </w:p>
        </w:tc>
      </w:tr>
      <w:tr w14:paraId="51F6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22" w:type="pct"/>
            <w:vMerge w:val="restart"/>
            <w:vAlign w:val="center"/>
          </w:tcPr>
          <w:p w14:paraId="271B2CC5">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“摇篮杯”广州众山精密材料大模型竞赛</w:t>
            </w:r>
          </w:p>
        </w:tc>
        <w:tc>
          <w:tcPr>
            <w:tcW w:w="1412" w:type="pct"/>
            <w:vAlign w:val="center"/>
          </w:tcPr>
          <w:p w14:paraId="5AC89DD3">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特等奖</w:t>
            </w:r>
          </w:p>
        </w:tc>
        <w:tc>
          <w:tcPr>
            <w:tcW w:w="1197" w:type="pct"/>
            <w:vAlign w:val="center"/>
          </w:tcPr>
          <w:p w14:paraId="5D5B85C3">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15</w:t>
            </w:r>
            <w:r>
              <w:rPr>
                <w:rFonts w:ascii="Times New Roman" w:hAnsi="Times New Roman" w:eastAsia="仿宋_GB2312" w:cs="Times New Roman"/>
                <w:sz w:val="28"/>
                <w:szCs w:val="28"/>
              </w:rPr>
              <w:t>00</w:t>
            </w:r>
            <w:r>
              <w:rPr>
                <w:rFonts w:hint="eastAsia" w:ascii="Times New Roman" w:hAnsi="Times New Roman" w:eastAsia="仿宋_GB2312" w:cs="Times New Roman"/>
                <w:sz w:val="28"/>
                <w:szCs w:val="28"/>
              </w:rPr>
              <w:t>0元</w:t>
            </w:r>
          </w:p>
        </w:tc>
        <w:tc>
          <w:tcPr>
            <w:tcW w:w="869" w:type="pct"/>
            <w:vAlign w:val="center"/>
          </w:tcPr>
          <w:p w14:paraId="1B276914">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w:t>
            </w:r>
          </w:p>
        </w:tc>
      </w:tr>
      <w:tr w14:paraId="0D56A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22" w:type="pct"/>
            <w:vMerge w:val="continue"/>
            <w:vAlign w:val="center"/>
          </w:tcPr>
          <w:p w14:paraId="04F90E9F">
            <w:pPr>
              <w:adjustRightInd w:val="0"/>
              <w:snapToGrid w:val="0"/>
              <w:spacing w:line="360" w:lineRule="auto"/>
              <w:jc w:val="center"/>
              <w:rPr>
                <w:rFonts w:ascii="Times New Roman" w:hAnsi="Times New Roman" w:eastAsia="仿宋_GB2312" w:cs="Times New Roman"/>
                <w:sz w:val="28"/>
                <w:szCs w:val="28"/>
              </w:rPr>
            </w:pPr>
          </w:p>
        </w:tc>
        <w:tc>
          <w:tcPr>
            <w:tcW w:w="1412" w:type="pct"/>
            <w:vAlign w:val="center"/>
          </w:tcPr>
          <w:p w14:paraId="1E944453">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一等奖</w:t>
            </w:r>
          </w:p>
        </w:tc>
        <w:tc>
          <w:tcPr>
            <w:tcW w:w="1197" w:type="pct"/>
            <w:vAlign w:val="center"/>
          </w:tcPr>
          <w:p w14:paraId="390DD65B">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8</w:t>
            </w:r>
            <w:r>
              <w:rPr>
                <w:rFonts w:ascii="Times New Roman" w:hAnsi="Times New Roman" w:eastAsia="仿宋_GB2312" w:cs="Times New Roman"/>
                <w:sz w:val="28"/>
                <w:szCs w:val="28"/>
              </w:rPr>
              <w:t>000</w:t>
            </w:r>
            <w:r>
              <w:rPr>
                <w:rFonts w:hint="eastAsia" w:ascii="Times New Roman" w:hAnsi="Times New Roman" w:eastAsia="仿宋_GB2312" w:cs="Times New Roman"/>
                <w:sz w:val="28"/>
                <w:szCs w:val="28"/>
              </w:rPr>
              <w:t>元</w:t>
            </w:r>
          </w:p>
        </w:tc>
        <w:tc>
          <w:tcPr>
            <w:tcW w:w="869" w:type="pct"/>
            <w:vAlign w:val="center"/>
          </w:tcPr>
          <w:p w14:paraId="62E52F5B">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p>
        </w:tc>
      </w:tr>
      <w:tr w14:paraId="557C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22" w:type="pct"/>
            <w:vMerge w:val="continue"/>
            <w:vAlign w:val="center"/>
          </w:tcPr>
          <w:p w14:paraId="5189E64C">
            <w:pPr>
              <w:adjustRightInd w:val="0"/>
              <w:snapToGrid w:val="0"/>
              <w:spacing w:line="360" w:lineRule="auto"/>
              <w:jc w:val="center"/>
              <w:rPr>
                <w:rFonts w:ascii="Times New Roman" w:hAnsi="Times New Roman" w:eastAsia="仿宋_GB2312" w:cs="Times New Roman"/>
                <w:sz w:val="28"/>
                <w:szCs w:val="28"/>
              </w:rPr>
            </w:pPr>
          </w:p>
        </w:tc>
        <w:tc>
          <w:tcPr>
            <w:tcW w:w="1412" w:type="pct"/>
            <w:vAlign w:val="center"/>
          </w:tcPr>
          <w:p w14:paraId="7B2A5FA5">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二等奖</w:t>
            </w:r>
          </w:p>
        </w:tc>
        <w:tc>
          <w:tcPr>
            <w:tcW w:w="1197" w:type="pct"/>
            <w:vAlign w:val="center"/>
          </w:tcPr>
          <w:p w14:paraId="23A42458">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50</w:t>
            </w:r>
            <w:r>
              <w:rPr>
                <w:rFonts w:ascii="Times New Roman" w:hAnsi="Times New Roman" w:eastAsia="仿宋_GB2312" w:cs="Times New Roman"/>
                <w:sz w:val="28"/>
                <w:szCs w:val="28"/>
              </w:rPr>
              <w:t>00</w:t>
            </w:r>
            <w:r>
              <w:rPr>
                <w:rFonts w:hint="eastAsia" w:ascii="Times New Roman" w:hAnsi="Times New Roman" w:eastAsia="仿宋_GB2312" w:cs="Times New Roman"/>
                <w:sz w:val="28"/>
                <w:szCs w:val="28"/>
              </w:rPr>
              <w:t>元</w:t>
            </w:r>
          </w:p>
        </w:tc>
        <w:tc>
          <w:tcPr>
            <w:tcW w:w="869" w:type="pct"/>
            <w:vAlign w:val="center"/>
          </w:tcPr>
          <w:p w14:paraId="6B1310EB">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w:t>
            </w:r>
          </w:p>
        </w:tc>
      </w:tr>
      <w:tr w14:paraId="27B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22" w:type="pct"/>
            <w:vMerge w:val="continue"/>
            <w:vAlign w:val="center"/>
          </w:tcPr>
          <w:p w14:paraId="35FAA25C">
            <w:pPr>
              <w:adjustRightInd w:val="0"/>
              <w:snapToGrid w:val="0"/>
              <w:spacing w:line="360" w:lineRule="auto"/>
              <w:jc w:val="center"/>
              <w:rPr>
                <w:rFonts w:ascii="Times New Roman" w:hAnsi="Times New Roman" w:eastAsia="仿宋_GB2312" w:cs="Times New Roman"/>
                <w:sz w:val="28"/>
                <w:szCs w:val="28"/>
              </w:rPr>
            </w:pPr>
          </w:p>
        </w:tc>
        <w:tc>
          <w:tcPr>
            <w:tcW w:w="1412" w:type="pct"/>
            <w:vAlign w:val="center"/>
          </w:tcPr>
          <w:p w14:paraId="2DCA0E02">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三等奖</w:t>
            </w:r>
          </w:p>
        </w:tc>
        <w:tc>
          <w:tcPr>
            <w:tcW w:w="1197" w:type="pct"/>
            <w:vAlign w:val="center"/>
          </w:tcPr>
          <w:p w14:paraId="3B883E37">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w:t>
            </w:r>
            <w:r>
              <w:rPr>
                <w:rFonts w:ascii="Times New Roman" w:hAnsi="Times New Roman" w:eastAsia="仿宋_GB2312" w:cs="Times New Roman"/>
                <w:sz w:val="28"/>
                <w:szCs w:val="28"/>
              </w:rPr>
              <w:t>000</w:t>
            </w:r>
            <w:r>
              <w:rPr>
                <w:rFonts w:hint="eastAsia" w:ascii="Times New Roman" w:hAnsi="Times New Roman" w:eastAsia="仿宋_GB2312" w:cs="Times New Roman"/>
                <w:sz w:val="28"/>
                <w:szCs w:val="28"/>
              </w:rPr>
              <w:t>元</w:t>
            </w:r>
          </w:p>
        </w:tc>
        <w:tc>
          <w:tcPr>
            <w:tcW w:w="869" w:type="pct"/>
            <w:vAlign w:val="center"/>
          </w:tcPr>
          <w:p w14:paraId="74C79580">
            <w:pPr>
              <w:adjustRightInd w:val="0"/>
              <w:snapToGrid w:val="0"/>
              <w:spacing w:line="36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7</w:t>
            </w:r>
          </w:p>
        </w:tc>
      </w:tr>
    </w:tbl>
    <w:p w14:paraId="41AB03C3">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auto"/>
        <w:rPr>
          <w:rFonts w:hint="eastAsia" w:ascii="仿宋_GB2312" w:hAnsi="仿宋" w:eastAsia="仿宋_GB2312"/>
          <w:sz w:val="28"/>
          <w:szCs w:val="28"/>
        </w:rPr>
      </w:pPr>
      <w:bookmarkStart w:id="0" w:name="_GoBack"/>
      <w:bookmarkEnd w:id="0"/>
    </w:p>
    <w:p w14:paraId="13FD8DB3">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2.学分与奖学金。对参加此次竞赛的学生，给予科技创新学分认定，可获得《北京科技大学创新创业教学工作管理办法》（校教发﹝201</w:t>
      </w:r>
      <w:r>
        <w:rPr>
          <w:rFonts w:hint="eastAsia" w:ascii="仿宋_GB2312" w:hAnsi="仿宋" w:eastAsia="仿宋_GB2312"/>
          <w:sz w:val="28"/>
          <w:szCs w:val="28"/>
          <w:lang w:eastAsia="zh"/>
        </w:rPr>
        <w:t>7</w:t>
      </w:r>
      <w:r>
        <w:rPr>
          <w:rFonts w:hint="eastAsia" w:ascii="仿宋_GB2312" w:hAnsi="仿宋" w:eastAsia="仿宋_GB2312"/>
          <w:sz w:val="28"/>
          <w:szCs w:val="28"/>
        </w:rPr>
        <w:t>﹞2</w:t>
      </w:r>
      <w:r>
        <w:rPr>
          <w:rFonts w:hint="eastAsia" w:ascii="仿宋_GB2312" w:hAnsi="仿宋" w:eastAsia="仿宋_GB2312"/>
          <w:sz w:val="28"/>
          <w:szCs w:val="28"/>
          <w:lang w:eastAsia="zh"/>
        </w:rPr>
        <w:t>4</w:t>
      </w:r>
      <w:r>
        <w:rPr>
          <w:rFonts w:hint="eastAsia" w:ascii="仿宋_GB2312" w:hAnsi="仿宋" w:eastAsia="仿宋_GB2312"/>
          <w:sz w:val="28"/>
          <w:szCs w:val="28"/>
        </w:rPr>
        <w:t>号 校团发﹝</w:t>
      </w:r>
      <w:r>
        <w:rPr>
          <w:rFonts w:hint="eastAsia" w:ascii="仿宋_GB2312" w:hAnsi="仿宋" w:eastAsia="仿宋_GB2312"/>
          <w:sz w:val="28"/>
          <w:szCs w:val="28"/>
          <w:lang w:eastAsia="zh"/>
        </w:rPr>
        <w:t>2017﹞65号）</w:t>
      </w:r>
      <w:r>
        <w:rPr>
          <w:rFonts w:hint="eastAsia" w:ascii="仿宋_GB2312" w:hAnsi="仿宋" w:eastAsia="仿宋_GB2312"/>
          <w:sz w:val="28"/>
          <w:szCs w:val="28"/>
        </w:rPr>
        <w:t>中规定的相应科技创新学分。推荐保送免试硕士研究生时，学院可参照当年教务处发布的本科毕业生推免工作通知给予一定加分。对符合《北京科技大学学科、科技竞赛奖学金实施办法》（校发〔2018〕76号）的学生，可获得相应的奖学金。</w:t>
      </w:r>
    </w:p>
    <w:p w14:paraId="0131CAD2">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六、知识产权</w:t>
      </w:r>
    </w:p>
    <w:p w14:paraId="720D9BA6">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本大赛提供的赛题以及比赛过程中所产生的数据（包括但不限于报告、数据集、答辩文档、程序、工作流程）及相关的知识产权归属广州众山精密所有，其仅限用于比赛本身，不得在比赛范围外使用或对外传播。报名注册即代表认同主办方以上声明。</w:t>
      </w:r>
    </w:p>
    <w:p w14:paraId="0F191B48">
      <w:pPr>
        <w:adjustRightInd w:val="0"/>
        <w:snapToGrid w:val="0"/>
        <w:spacing w:line="360" w:lineRule="auto"/>
        <w:ind w:firstLine="560" w:firstLineChars="200"/>
        <w:rPr>
          <w:rFonts w:hint="eastAsia" w:ascii="黑体" w:hAnsi="黑体" w:eastAsia="黑体"/>
          <w:bCs/>
          <w:sz w:val="28"/>
          <w:szCs w:val="28"/>
        </w:rPr>
      </w:pPr>
      <w:r>
        <w:rPr>
          <w:rFonts w:hint="eastAsia" w:ascii="黑体" w:hAnsi="黑体" w:eastAsia="黑体"/>
          <w:bCs/>
          <w:sz w:val="28"/>
          <w:szCs w:val="28"/>
        </w:rPr>
        <w:t>七、其他</w:t>
      </w:r>
    </w:p>
    <w:p w14:paraId="766B0555">
      <w:pPr>
        <w:adjustRightInd w:val="0"/>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最终解释权归北京科技大学第二十六届“摇篮杯”大学生创新创业竞赛组委会所有。</w:t>
      </w:r>
    </w:p>
    <w:sectPr>
      <w:footerReference r:id="rId3" w:type="default"/>
      <w:pgSz w:w="11906" w:h="16838"/>
      <w:pgMar w:top="1440" w:right="1418" w:bottom="1440" w:left="1418"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21"/>
        <w:szCs w:val="21"/>
      </w:rPr>
      <w:id w:val="446124539"/>
    </w:sdtPr>
    <w:sdtEndPr>
      <w:rPr>
        <w:rFonts w:hint="eastAsia" w:ascii="仿宋_GB2312" w:hAnsi="仿宋_GB2312" w:eastAsia="仿宋_GB2312" w:cs="仿宋_GB2312"/>
        <w:sz w:val="21"/>
        <w:szCs w:val="21"/>
      </w:rPr>
    </w:sdtEndPr>
    <w:sdtContent>
      <w:p w14:paraId="0593E037">
        <w:pPr>
          <w:pStyle w:val="4"/>
          <w:jc w:val="center"/>
          <w:rPr>
            <w:rFonts w:hint="eastAsia" w:ascii="仿宋_GB2312" w:eastAsia="仿宋_GB2312"/>
            <w:sz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PAGE   \* MERGEFORMAT</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lang w:val="zh-CN"/>
          </w:rPr>
          <w:t>1</w:t>
        </w:r>
        <w:r>
          <w:rPr>
            <w:rFonts w:hint="eastAsia" w:ascii="仿宋_GB2312" w:hAnsi="仿宋_GB2312" w:eastAsia="仿宋_GB2312" w:cs="仿宋_GB2312"/>
            <w:sz w:val="21"/>
            <w:szCs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3NmVhOTg4ODg2MGMzN2ViMzBlNzVjMzI5MzcyMjQifQ=="/>
    <w:docVar w:name="KSO_WPS_MARK_KEY" w:val="9dce67b0-cb65-457c-becf-267c151f11c2"/>
  </w:docVars>
  <w:rsids>
    <w:rsidRoot w:val="003A4192"/>
    <w:rsid w:val="00001D1B"/>
    <w:rsid w:val="00003F87"/>
    <w:rsid w:val="000044C5"/>
    <w:rsid w:val="0001353A"/>
    <w:rsid w:val="00016EA4"/>
    <w:rsid w:val="00016FC1"/>
    <w:rsid w:val="0003235F"/>
    <w:rsid w:val="00032BB2"/>
    <w:rsid w:val="00036B18"/>
    <w:rsid w:val="000410B3"/>
    <w:rsid w:val="00041456"/>
    <w:rsid w:val="00042B6B"/>
    <w:rsid w:val="000834DB"/>
    <w:rsid w:val="00086868"/>
    <w:rsid w:val="00087A60"/>
    <w:rsid w:val="00095FAB"/>
    <w:rsid w:val="000A2C6A"/>
    <w:rsid w:val="000A493E"/>
    <w:rsid w:val="000B1902"/>
    <w:rsid w:val="000B3AD4"/>
    <w:rsid w:val="000B6CCA"/>
    <w:rsid w:val="000D503D"/>
    <w:rsid w:val="000D6229"/>
    <w:rsid w:val="000D718D"/>
    <w:rsid w:val="000E06B9"/>
    <w:rsid w:val="000E5823"/>
    <w:rsid w:val="000F0CBF"/>
    <w:rsid w:val="000F1CB9"/>
    <w:rsid w:val="00103C0D"/>
    <w:rsid w:val="00112736"/>
    <w:rsid w:val="001215F7"/>
    <w:rsid w:val="00137362"/>
    <w:rsid w:val="001412C8"/>
    <w:rsid w:val="001509C3"/>
    <w:rsid w:val="001514EF"/>
    <w:rsid w:val="00151CFD"/>
    <w:rsid w:val="00153908"/>
    <w:rsid w:val="0016065C"/>
    <w:rsid w:val="00162F71"/>
    <w:rsid w:val="00164B3C"/>
    <w:rsid w:val="001A21FA"/>
    <w:rsid w:val="001B2538"/>
    <w:rsid w:val="001B634C"/>
    <w:rsid w:val="001C35A2"/>
    <w:rsid w:val="001C45EA"/>
    <w:rsid w:val="001D7B58"/>
    <w:rsid w:val="001E4708"/>
    <w:rsid w:val="001F0D82"/>
    <w:rsid w:val="001F212B"/>
    <w:rsid w:val="001F3BF6"/>
    <w:rsid w:val="001F7A8C"/>
    <w:rsid w:val="0020143B"/>
    <w:rsid w:val="00203550"/>
    <w:rsid w:val="00215FDC"/>
    <w:rsid w:val="002247D9"/>
    <w:rsid w:val="00226414"/>
    <w:rsid w:val="00230A5F"/>
    <w:rsid w:val="00232C47"/>
    <w:rsid w:val="00233732"/>
    <w:rsid w:val="002406AD"/>
    <w:rsid w:val="002579AB"/>
    <w:rsid w:val="00263FC8"/>
    <w:rsid w:val="002712CF"/>
    <w:rsid w:val="0028377A"/>
    <w:rsid w:val="00286478"/>
    <w:rsid w:val="002C0D40"/>
    <w:rsid w:val="002D3135"/>
    <w:rsid w:val="002E34C1"/>
    <w:rsid w:val="002E3D5E"/>
    <w:rsid w:val="002E44B2"/>
    <w:rsid w:val="002F2677"/>
    <w:rsid w:val="002F347F"/>
    <w:rsid w:val="002F58FE"/>
    <w:rsid w:val="002F69EF"/>
    <w:rsid w:val="003037C9"/>
    <w:rsid w:val="003046AD"/>
    <w:rsid w:val="00304B7D"/>
    <w:rsid w:val="0032035B"/>
    <w:rsid w:val="00324A7F"/>
    <w:rsid w:val="00325BE6"/>
    <w:rsid w:val="003359EA"/>
    <w:rsid w:val="003361C2"/>
    <w:rsid w:val="00346C6F"/>
    <w:rsid w:val="00346D4B"/>
    <w:rsid w:val="00370233"/>
    <w:rsid w:val="00373DB4"/>
    <w:rsid w:val="00374572"/>
    <w:rsid w:val="00383890"/>
    <w:rsid w:val="0038696B"/>
    <w:rsid w:val="00391AB8"/>
    <w:rsid w:val="00392BEE"/>
    <w:rsid w:val="003A33BF"/>
    <w:rsid w:val="003A4192"/>
    <w:rsid w:val="003A5B09"/>
    <w:rsid w:val="003C4687"/>
    <w:rsid w:val="003D71E5"/>
    <w:rsid w:val="003D7D56"/>
    <w:rsid w:val="003E0D1F"/>
    <w:rsid w:val="003E3F58"/>
    <w:rsid w:val="003E60A5"/>
    <w:rsid w:val="0040286B"/>
    <w:rsid w:val="004103FE"/>
    <w:rsid w:val="00413FE7"/>
    <w:rsid w:val="00415D4E"/>
    <w:rsid w:val="004223E4"/>
    <w:rsid w:val="00423B1E"/>
    <w:rsid w:val="00431B02"/>
    <w:rsid w:val="0043327A"/>
    <w:rsid w:val="00441F51"/>
    <w:rsid w:val="004435F0"/>
    <w:rsid w:val="00456159"/>
    <w:rsid w:val="0046576B"/>
    <w:rsid w:val="00473438"/>
    <w:rsid w:val="00473DD2"/>
    <w:rsid w:val="00474DF3"/>
    <w:rsid w:val="00477E57"/>
    <w:rsid w:val="00495DA6"/>
    <w:rsid w:val="004B36AB"/>
    <w:rsid w:val="004D58C2"/>
    <w:rsid w:val="004E1DF5"/>
    <w:rsid w:val="004E7EDB"/>
    <w:rsid w:val="004F22FD"/>
    <w:rsid w:val="004F2C0B"/>
    <w:rsid w:val="00504910"/>
    <w:rsid w:val="0050764D"/>
    <w:rsid w:val="00510BBE"/>
    <w:rsid w:val="00542A4C"/>
    <w:rsid w:val="00543A4E"/>
    <w:rsid w:val="00553154"/>
    <w:rsid w:val="00556AF2"/>
    <w:rsid w:val="00561ADD"/>
    <w:rsid w:val="00565DC6"/>
    <w:rsid w:val="00574839"/>
    <w:rsid w:val="00583E68"/>
    <w:rsid w:val="00591867"/>
    <w:rsid w:val="00593CB6"/>
    <w:rsid w:val="005B0B08"/>
    <w:rsid w:val="005B1282"/>
    <w:rsid w:val="005C3671"/>
    <w:rsid w:val="005C37DA"/>
    <w:rsid w:val="005D3814"/>
    <w:rsid w:val="005E5F2E"/>
    <w:rsid w:val="006139E7"/>
    <w:rsid w:val="00626B1F"/>
    <w:rsid w:val="00631820"/>
    <w:rsid w:val="0063785E"/>
    <w:rsid w:val="00650074"/>
    <w:rsid w:val="00660370"/>
    <w:rsid w:val="00662E56"/>
    <w:rsid w:val="00665133"/>
    <w:rsid w:val="0068189C"/>
    <w:rsid w:val="00686F8E"/>
    <w:rsid w:val="00690C5A"/>
    <w:rsid w:val="006950CA"/>
    <w:rsid w:val="006B20B7"/>
    <w:rsid w:val="006C48A3"/>
    <w:rsid w:val="006D0F31"/>
    <w:rsid w:val="006E41AF"/>
    <w:rsid w:val="006E79F3"/>
    <w:rsid w:val="006F2D50"/>
    <w:rsid w:val="006F4CEA"/>
    <w:rsid w:val="007048F5"/>
    <w:rsid w:val="00716901"/>
    <w:rsid w:val="00725EE2"/>
    <w:rsid w:val="00742DBD"/>
    <w:rsid w:val="00757CA4"/>
    <w:rsid w:val="00773E73"/>
    <w:rsid w:val="00774604"/>
    <w:rsid w:val="00795ECA"/>
    <w:rsid w:val="007A3408"/>
    <w:rsid w:val="007A7F07"/>
    <w:rsid w:val="007C1909"/>
    <w:rsid w:val="007E1090"/>
    <w:rsid w:val="007E2B90"/>
    <w:rsid w:val="007E7A81"/>
    <w:rsid w:val="008004FA"/>
    <w:rsid w:val="0080586C"/>
    <w:rsid w:val="00805FB0"/>
    <w:rsid w:val="008113EB"/>
    <w:rsid w:val="00820635"/>
    <w:rsid w:val="00822F54"/>
    <w:rsid w:val="00823C34"/>
    <w:rsid w:val="008249E7"/>
    <w:rsid w:val="00831694"/>
    <w:rsid w:val="00850AA8"/>
    <w:rsid w:val="00870771"/>
    <w:rsid w:val="008A46E4"/>
    <w:rsid w:val="008B4E94"/>
    <w:rsid w:val="008C48A6"/>
    <w:rsid w:val="008C7998"/>
    <w:rsid w:val="008D7EF4"/>
    <w:rsid w:val="008E4C78"/>
    <w:rsid w:val="008E4F54"/>
    <w:rsid w:val="008E5A59"/>
    <w:rsid w:val="008E5B27"/>
    <w:rsid w:val="008F1508"/>
    <w:rsid w:val="008F1616"/>
    <w:rsid w:val="008F473A"/>
    <w:rsid w:val="008F5604"/>
    <w:rsid w:val="00901551"/>
    <w:rsid w:val="00902AF4"/>
    <w:rsid w:val="00910C23"/>
    <w:rsid w:val="00933AC1"/>
    <w:rsid w:val="00944E54"/>
    <w:rsid w:val="009470BB"/>
    <w:rsid w:val="00990687"/>
    <w:rsid w:val="0099623A"/>
    <w:rsid w:val="009A3F7F"/>
    <w:rsid w:val="009A5668"/>
    <w:rsid w:val="009B0C72"/>
    <w:rsid w:val="009B1275"/>
    <w:rsid w:val="009B6CE0"/>
    <w:rsid w:val="009C07E9"/>
    <w:rsid w:val="009C585F"/>
    <w:rsid w:val="009C75CF"/>
    <w:rsid w:val="009D3C5F"/>
    <w:rsid w:val="00A004DF"/>
    <w:rsid w:val="00A1787C"/>
    <w:rsid w:val="00A24A2A"/>
    <w:rsid w:val="00A41F3A"/>
    <w:rsid w:val="00A60939"/>
    <w:rsid w:val="00A65C7D"/>
    <w:rsid w:val="00A76309"/>
    <w:rsid w:val="00A83DA8"/>
    <w:rsid w:val="00A862AF"/>
    <w:rsid w:val="00AB1E2F"/>
    <w:rsid w:val="00AB4856"/>
    <w:rsid w:val="00AC1434"/>
    <w:rsid w:val="00AC3F38"/>
    <w:rsid w:val="00AD2335"/>
    <w:rsid w:val="00AD52FB"/>
    <w:rsid w:val="00AD638D"/>
    <w:rsid w:val="00AE4008"/>
    <w:rsid w:val="00AE47F6"/>
    <w:rsid w:val="00AE7E37"/>
    <w:rsid w:val="00AF0C1E"/>
    <w:rsid w:val="00AF2DE9"/>
    <w:rsid w:val="00B07E38"/>
    <w:rsid w:val="00B2231F"/>
    <w:rsid w:val="00B344B3"/>
    <w:rsid w:val="00B4565F"/>
    <w:rsid w:val="00B462DA"/>
    <w:rsid w:val="00B512B8"/>
    <w:rsid w:val="00B548AB"/>
    <w:rsid w:val="00B65623"/>
    <w:rsid w:val="00B662EE"/>
    <w:rsid w:val="00B6696C"/>
    <w:rsid w:val="00B77D62"/>
    <w:rsid w:val="00B8065A"/>
    <w:rsid w:val="00B925C4"/>
    <w:rsid w:val="00BA7021"/>
    <w:rsid w:val="00BB1F8C"/>
    <w:rsid w:val="00BB1FCA"/>
    <w:rsid w:val="00BB74E9"/>
    <w:rsid w:val="00BC6D14"/>
    <w:rsid w:val="00BE0876"/>
    <w:rsid w:val="00BE6ED8"/>
    <w:rsid w:val="00BF113E"/>
    <w:rsid w:val="00BF2663"/>
    <w:rsid w:val="00C07903"/>
    <w:rsid w:val="00C1594C"/>
    <w:rsid w:val="00C15DA1"/>
    <w:rsid w:val="00C1787F"/>
    <w:rsid w:val="00C20337"/>
    <w:rsid w:val="00C316F8"/>
    <w:rsid w:val="00C3334B"/>
    <w:rsid w:val="00C3344A"/>
    <w:rsid w:val="00C436C5"/>
    <w:rsid w:val="00C50E89"/>
    <w:rsid w:val="00C54632"/>
    <w:rsid w:val="00C658E5"/>
    <w:rsid w:val="00C72477"/>
    <w:rsid w:val="00C7344B"/>
    <w:rsid w:val="00C74093"/>
    <w:rsid w:val="00C74A42"/>
    <w:rsid w:val="00C7593C"/>
    <w:rsid w:val="00C76B51"/>
    <w:rsid w:val="00C77DA4"/>
    <w:rsid w:val="00C80650"/>
    <w:rsid w:val="00C92724"/>
    <w:rsid w:val="00C94FDD"/>
    <w:rsid w:val="00C95122"/>
    <w:rsid w:val="00C956C2"/>
    <w:rsid w:val="00C96D2F"/>
    <w:rsid w:val="00CB1870"/>
    <w:rsid w:val="00CB193E"/>
    <w:rsid w:val="00CC5ED7"/>
    <w:rsid w:val="00CD4C85"/>
    <w:rsid w:val="00CD4D6F"/>
    <w:rsid w:val="00CD4ED9"/>
    <w:rsid w:val="00CE2B16"/>
    <w:rsid w:val="00CE5BE7"/>
    <w:rsid w:val="00CF621C"/>
    <w:rsid w:val="00CF77E2"/>
    <w:rsid w:val="00D01668"/>
    <w:rsid w:val="00D06E83"/>
    <w:rsid w:val="00D1102B"/>
    <w:rsid w:val="00D11267"/>
    <w:rsid w:val="00D120E1"/>
    <w:rsid w:val="00D137EF"/>
    <w:rsid w:val="00D27F3D"/>
    <w:rsid w:val="00D5727B"/>
    <w:rsid w:val="00D60D65"/>
    <w:rsid w:val="00D62C35"/>
    <w:rsid w:val="00D8643E"/>
    <w:rsid w:val="00D86B43"/>
    <w:rsid w:val="00DB0E53"/>
    <w:rsid w:val="00DB7674"/>
    <w:rsid w:val="00DB7D64"/>
    <w:rsid w:val="00DC111E"/>
    <w:rsid w:val="00DD046E"/>
    <w:rsid w:val="00DD5417"/>
    <w:rsid w:val="00DF06CA"/>
    <w:rsid w:val="00DF2BE9"/>
    <w:rsid w:val="00DF6611"/>
    <w:rsid w:val="00E10383"/>
    <w:rsid w:val="00E10E7B"/>
    <w:rsid w:val="00E2002B"/>
    <w:rsid w:val="00E20395"/>
    <w:rsid w:val="00E35605"/>
    <w:rsid w:val="00E36FF8"/>
    <w:rsid w:val="00E429A6"/>
    <w:rsid w:val="00E502F4"/>
    <w:rsid w:val="00E503A2"/>
    <w:rsid w:val="00E5654C"/>
    <w:rsid w:val="00E6535A"/>
    <w:rsid w:val="00E70672"/>
    <w:rsid w:val="00E72E49"/>
    <w:rsid w:val="00E75E3B"/>
    <w:rsid w:val="00E86B4C"/>
    <w:rsid w:val="00E95512"/>
    <w:rsid w:val="00EB0408"/>
    <w:rsid w:val="00EB1C4B"/>
    <w:rsid w:val="00EB758F"/>
    <w:rsid w:val="00EC5783"/>
    <w:rsid w:val="00ED4BA3"/>
    <w:rsid w:val="00EE06B7"/>
    <w:rsid w:val="00EE0B92"/>
    <w:rsid w:val="00EE2BDF"/>
    <w:rsid w:val="00EF21AC"/>
    <w:rsid w:val="00F003DF"/>
    <w:rsid w:val="00F111A1"/>
    <w:rsid w:val="00F13309"/>
    <w:rsid w:val="00F16260"/>
    <w:rsid w:val="00F1659D"/>
    <w:rsid w:val="00F205E9"/>
    <w:rsid w:val="00F2178F"/>
    <w:rsid w:val="00F24E79"/>
    <w:rsid w:val="00F314C0"/>
    <w:rsid w:val="00F40FEF"/>
    <w:rsid w:val="00F516D8"/>
    <w:rsid w:val="00F51DBC"/>
    <w:rsid w:val="00F62537"/>
    <w:rsid w:val="00F835E1"/>
    <w:rsid w:val="00F85421"/>
    <w:rsid w:val="00F92824"/>
    <w:rsid w:val="00F93DDC"/>
    <w:rsid w:val="00F9470B"/>
    <w:rsid w:val="00F965AD"/>
    <w:rsid w:val="00F97FC5"/>
    <w:rsid w:val="00FA7402"/>
    <w:rsid w:val="00FD1B1B"/>
    <w:rsid w:val="00FD5228"/>
    <w:rsid w:val="00FD6DAF"/>
    <w:rsid w:val="00FE2A52"/>
    <w:rsid w:val="00FF5F58"/>
    <w:rsid w:val="00FF7D80"/>
    <w:rsid w:val="00FF7F59"/>
    <w:rsid w:val="029B5AD9"/>
    <w:rsid w:val="03B46C2F"/>
    <w:rsid w:val="04BE23F3"/>
    <w:rsid w:val="05820DC9"/>
    <w:rsid w:val="05943A92"/>
    <w:rsid w:val="07440ECA"/>
    <w:rsid w:val="08613067"/>
    <w:rsid w:val="09AB0F7B"/>
    <w:rsid w:val="0A1628C6"/>
    <w:rsid w:val="0BED7182"/>
    <w:rsid w:val="0D0B4CAB"/>
    <w:rsid w:val="0D35493D"/>
    <w:rsid w:val="11812847"/>
    <w:rsid w:val="17FD718C"/>
    <w:rsid w:val="19133DD6"/>
    <w:rsid w:val="19510D51"/>
    <w:rsid w:val="1E311151"/>
    <w:rsid w:val="21717AB6"/>
    <w:rsid w:val="23860788"/>
    <w:rsid w:val="274271DF"/>
    <w:rsid w:val="27C664F2"/>
    <w:rsid w:val="2ABA7B32"/>
    <w:rsid w:val="2B890276"/>
    <w:rsid w:val="2B8A049F"/>
    <w:rsid w:val="2C047EA4"/>
    <w:rsid w:val="2CDA749A"/>
    <w:rsid w:val="2D556816"/>
    <w:rsid w:val="2E9759B4"/>
    <w:rsid w:val="3512726E"/>
    <w:rsid w:val="356674DA"/>
    <w:rsid w:val="38254647"/>
    <w:rsid w:val="3B6236A0"/>
    <w:rsid w:val="3BA041DC"/>
    <w:rsid w:val="3F5969B3"/>
    <w:rsid w:val="3F5FEEBE"/>
    <w:rsid w:val="3F9B5FD2"/>
    <w:rsid w:val="3FFF8C2E"/>
    <w:rsid w:val="48983004"/>
    <w:rsid w:val="4B5005B9"/>
    <w:rsid w:val="4D922B7A"/>
    <w:rsid w:val="4DC22033"/>
    <w:rsid w:val="53285CF8"/>
    <w:rsid w:val="534F144D"/>
    <w:rsid w:val="55B20DAE"/>
    <w:rsid w:val="57D41C4C"/>
    <w:rsid w:val="592B1C5B"/>
    <w:rsid w:val="59941FB8"/>
    <w:rsid w:val="5A2E20C7"/>
    <w:rsid w:val="5BAD110F"/>
    <w:rsid w:val="5BE77C75"/>
    <w:rsid w:val="5D7D4522"/>
    <w:rsid w:val="5EB629D1"/>
    <w:rsid w:val="5FF27A39"/>
    <w:rsid w:val="61265BEC"/>
    <w:rsid w:val="61AF3E33"/>
    <w:rsid w:val="64A05CB5"/>
    <w:rsid w:val="65523DF7"/>
    <w:rsid w:val="65FD6F9E"/>
    <w:rsid w:val="67D26308"/>
    <w:rsid w:val="6D1763FC"/>
    <w:rsid w:val="6D46014F"/>
    <w:rsid w:val="6D5C1785"/>
    <w:rsid w:val="6DAB41CD"/>
    <w:rsid w:val="6E9F2B3A"/>
    <w:rsid w:val="6F8B3F1A"/>
    <w:rsid w:val="6FDB4BB2"/>
    <w:rsid w:val="6FFEE753"/>
    <w:rsid w:val="700A001A"/>
    <w:rsid w:val="70712D87"/>
    <w:rsid w:val="715B710B"/>
    <w:rsid w:val="72760055"/>
    <w:rsid w:val="75074900"/>
    <w:rsid w:val="75E9170C"/>
    <w:rsid w:val="76067942"/>
    <w:rsid w:val="767424D3"/>
    <w:rsid w:val="771A7856"/>
    <w:rsid w:val="78450BF6"/>
    <w:rsid w:val="78E23189"/>
    <w:rsid w:val="78E459B5"/>
    <w:rsid w:val="79700F04"/>
    <w:rsid w:val="7CC06A9D"/>
    <w:rsid w:val="7DC447EE"/>
    <w:rsid w:val="7E590F57"/>
    <w:rsid w:val="B3BD0249"/>
    <w:rsid w:val="FAF9727E"/>
    <w:rsid w:val="FDBD4D68"/>
    <w:rsid w:val="FF3CDF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autoRedefine/>
    <w:semiHidden/>
    <w:unhideWhenUsed/>
    <w:qFormat/>
    <w:uiPriority w:val="99"/>
    <w:rPr>
      <w:b/>
      <w:bCs/>
    </w:rPr>
  </w:style>
  <w:style w:type="table" w:styleId="8">
    <w:name w:val="Table Grid"/>
    <w:basedOn w:val="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rPr>
  </w:style>
  <w:style w:type="character" w:styleId="11">
    <w:name w:val="Hyperlink"/>
    <w:basedOn w:val="9"/>
    <w:autoRedefine/>
    <w:unhideWhenUsed/>
    <w:qFormat/>
    <w:uiPriority w:val="99"/>
    <w:rPr>
      <w:color w:val="0563C1" w:themeColor="hyperlink"/>
      <w:u w:val="single"/>
      <w14:textFill>
        <w14:solidFill>
          <w14:schemeClr w14:val="hlink"/>
        </w14:solidFill>
      </w14:textFill>
    </w:rPr>
  </w:style>
  <w:style w:type="character" w:styleId="12">
    <w:name w:val="annotation reference"/>
    <w:basedOn w:val="9"/>
    <w:autoRedefine/>
    <w:semiHidden/>
    <w:unhideWhenUsed/>
    <w:qFormat/>
    <w:uiPriority w:val="99"/>
    <w:rPr>
      <w:sz w:val="21"/>
      <w:szCs w:val="21"/>
    </w:rPr>
  </w:style>
  <w:style w:type="character" w:customStyle="1" w:styleId="13">
    <w:name w:val="页脚 字符"/>
    <w:basedOn w:val="9"/>
    <w:link w:val="4"/>
    <w:autoRedefine/>
    <w:qFormat/>
    <w:uiPriority w:val="99"/>
    <w:rPr>
      <w:sz w:val="18"/>
      <w:szCs w:val="18"/>
    </w:rPr>
  </w:style>
  <w:style w:type="character" w:customStyle="1" w:styleId="14">
    <w:name w:val="页眉 字符"/>
    <w:basedOn w:val="9"/>
    <w:link w:val="5"/>
    <w:autoRedefine/>
    <w:qFormat/>
    <w:uiPriority w:val="99"/>
    <w:rPr>
      <w:sz w:val="18"/>
      <w:szCs w:val="18"/>
    </w:rPr>
  </w:style>
  <w:style w:type="character" w:customStyle="1" w:styleId="15">
    <w:name w:val="批注框文本 字符"/>
    <w:basedOn w:val="9"/>
    <w:link w:val="3"/>
    <w:autoRedefine/>
    <w:semiHidden/>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character" w:customStyle="1" w:styleId="17">
    <w:name w:val="批注文字 字符"/>
    <w:basedOn w:val="9"/>
    <w:link w:val="2"/>
    <w:autoRedefine/>
    <w:qFormat/>
    <w:uiPriority w:val="99"/>
    <w:rPr>
      <w:rFonts w:asciiTheme="minorHAnsi" w:hAnsiTheme="minorHAnsi" w:eastAsiaTheme="minorEastAsia" w:cstheme="minorBidi"/>
      <w:kern w:val="2"/>
      <w:sz w:val="21"/>
      <w:szCs w:val="22"/>
    </w:rPr>
  </w:style>
  <w:style w:type="character" w:customStyle="1" w:styleId="18">
    <w:name w:val="批注主题 字符"/>
    <w:basedOn w:val="17"/>
    <w:link w:val="6"/>
    <w:semiHidden/>
    <w:qFormat/>
    <w:uiPriority w:val="99"/>
    <w:rPr>
      <w:rFonts w:asciiTheme="minorHAnsi" w:hAnsiTheme="minorHAnsi" w:eastAsiaTheme="minorEastAsia" w:cstheme="minorBidi"/>
      <w:b/>
      <w:bCs/>
      <w:kern w:val="2"/>
      <w:sz w:val="21"/>
      <w:szCs w:val="22"/>
    </w:rPr>
  </w:style>
  <w:style w:type="paragraph" w:customStyle="1" w:styleId="19">
    <w:name w:val="修订1"/>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2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3479</Words>
  <Characters>3639</Characters>
  <Lines>26</Lines>
  <Paragraphs>7</Paragraphs>
  <TotalTime>4</TotalTime>
  <ScaleCrop>false</ScaleCrop>
  <LinksUpToDate>false</LinksUpToDate>
  <CharactersWithSpaces>3643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2024-11-20T14:54:00Z</dcterms:created>
  <dc:creator>Office</dc:creator>
  <cp:lastModifiedBy>Administrator</cp:lastModifiedBy>
  <cp:lastPrinted>2020-10-31T09:08:00Z</cp:lastPrinted>
  <dcterms:modified xsi:type="dcterms:W3CDTF">2024-11-21T08:14:00Z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F79EBD480E8B97766E0F3B67ACB153FD_43</vt:lpwstr>
  </property>
</Properties>
</file>