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团校（培训班）课程表</w:t>
      </w:r>
    </w:p>
    <w:tbl>
      <w:tblPr>
        <w:tblStyle w:val="5"/>
        <w:tblW w:w="14723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14"/>
        <w:gridCol w:w="1325"/>
        <w:gridCol w:w="886"/>
        <w:gridCol w:w="1762"/>
        <w:gridCol w:w="741"/>
        <w:gridCol w:w="3236"/>
        <w:gridCol w:w="1178"/>
        <w:gridCol w:w="128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1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32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88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76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74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323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课程内容</w:t>
            </w:r>
          </w:p>
        </w:tc>
        <w:tc>
          <w:tcPr>
            <w:tcW w:w="117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28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主讲人</w:t>
            </w:r>
          </w:p>
        </w:tc>
        <w:tc>
          <w:tcPr>
            <w:tcW w:w="1993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开学典礼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开学典礼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暨专题报告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集中教学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-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-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专题报告在开学典礼后举行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理论主题教育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-1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月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依据活动安排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学习党史；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深入理解总书记重要讲话；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团校班级组织选课参加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青马工程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讲师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时间地点待定，每位学员至少选修两节课程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实践教育活动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依据课程安排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6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before="0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/>
              </w:rPr>
              <w:t>外出参观；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/>
              </w:rPr>
              <w:t>红色观影；</w:t>
            </w:r>
          </w:p>
          <w:p>
            <w:pPr>
              <w:pStyle w:val="7"/>
              <w:numPr>
                <w:ilvl w:val="0"/>
                <w:numId w:val="2"/>
              </w:numPr>
              <w:spacing w:before="0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破冰活动；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统一组织参加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-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-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时间地点待定，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每位学员至少选修两节课程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技能管理培训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依据活动安排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6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培训工作技能；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增进班长团支书交流；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提升学员综合素质；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团校班级组织选课参加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具备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管理学专业背景的授课导师；校内外青年成才导师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时间地点待定，每位学员至少选修两节课程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结业典礼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结业典礼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暨专题报告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集中教学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-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-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专题报告在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结业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典礼后举行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A901083-46F7-4671-8421-B971A73467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972062D-2DE7-4B6D-AD0B-8A6740941A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514477-CE84-4DD8-8F88-F99121DF29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479C4"/>
    <w:multiLevelType w:val="multilevel"/>
    <w:tmpl w:val="073479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2D4B95"/>
    <w:multiLevelType w:val="multilevel"/>
    <w:tmpl w:val="102D4B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5E66EF"/>
    <w:multiLevelType w:val="multilevel"/>
    <w:tmpl w:val="495E66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ZGJlOTdiNDNjYzA2YTAxOGUzZmFhMDZiYzQwMjUifQ=="/>
  </w:docVars>
  <w:rsids>
    <w:rsidRoot w:val="004F1778"/>
    <w:rsid w:val="00116FC6"/>
    <w:rsid w:val="0014352D"/>
    <w:rsid w:val="002457A2"/>
    <w:rsid w:val="00321B0A"/>
    <w:rsid w:val="004F1778"/>
    <w:rsid w:val="00681632"/>
    <w:rsid w:val="008605E9"/>
    <w:rsid w:val="008C0513"/>
    <w:rsid w:val="00991546"/>
    <w:rsid w:val="00B239E5"/>
    <w:rsid w:val="00BE5795"/>
    <w:rsid w:val="00D65439"/>
    <w:rsid w:val="49E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before="40"/>
      <w:jc w:val="center"/>
    </w:pPr>
    <w:rPr>
      <w:rFonts w:ascii="宋体" w:hAnsi="宋体" w:cs="宋体"/>
      <w:kern w:val="0"/>
      <w:sz w:val="22"/>
      <w:lang w:val="zh-CN" w:bidi="zh-C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818A-5348-49D9-AE0E-5A7B86CBAF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2023-10-16T13:06:00Z</dcterms:created>
  <dc:creator>宇昊 杨</dc:creator>
  <cp:lastModifiedBy>￥</cp:lastModifiedBy>
  <dcterms:modified xsi:type="dcterms:W3CDTF">2023-10-18T08:37:48Z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A7A905E3F4774C038230EFCC3CC432D3_12</vt:lpwstr>
  </property>
</Properties>
</file>