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ascii="华文仿宋" w:hAnsi="华文仿宋" w:eastAsia="华文仿宋"/>
          <w:b/>
          <w:sz w:val="28"/>
          <w:szCs w:val="28"/>
        </w:rPr>
      </w:pPr>
      <w:bookmarkStart w:id="0" w:name="_Toc299350702"/>
      <w:r>
        <w:rPr>
          <w:rFonts w:ascii="华文仿宋" w:hAnsi="华文仿宋" w:eastAsia="华文仿宋"/>
          <w:b/>
          <w:sz w:val="28"/>
          <w:szCs w:val="28"/>
        </w:rPr>
        <w:drawing>
          <wp:anchor distT="0" distB="0" distL="114300" distR="114300" simplePos="0" relativeHeight="251659264" behindDoc="0" locked="0" layoutInCell="1" allowOverlap="1">
            <wp:simplePos x="0" y="0"/>
            <wp:positionH relativeFrom="column">
              <wp:posOffset>26670</wp:posOffset>
            </wp:positionH>
            <wp:positionV relativeFrom="paragraph">
              <wp:posOffset>302895</wp:posOffset>
            </wp:positionV>
            <wp:extent cx="5760085" cy="575945"/>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l="4720" t="17288" r="4546" b="35171"/>
                    <a:stretch>
                      <a:fillRect/>
                    </a:stretch>
                  </pic:blipFill>
                  <pic:spPr>
                    <a:xfrm>
                      <a:off x="0" y="0"/>
                      <a:ext cx="5760000" cy="576000"/>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ascii="华文仿宋" w:hAnsi="华文仿宋" w:eastAsia="华文仿宋"/>
          <w:b/>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ascii="华文仿宋" w:hAnsi="华文仿宋" w:eastAsia="华文仿宋"/>
          <w:b/>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eastAsia" w:ascii="仿宋_GB2312" w:hAnsi="华文仿宋" w:eastAsia="仿宋_GB2312"/>
          <w:sz w:val="28"/>
        </w:rPr>
      </w:pPr>
      <w:r>
        <w:rPr>
          <w:rFonts w:hint="eastAsia" w:ascii="仿宋_GB2312" w:hAnsi="华文仿宋" w:eastAsia="仿宋_GB2312"/>
          <w:sz w:val="28"/>
        </w:rPr>
        <w:t>校团发〔202</w:t>
      </w:r>
      <w:r>
        <w:rPr>
          <w:rFonts w:ascii="仿宋_GB2312" w:hAnsi="华文仿宋" w:eastAsia="仿宋_GB2312"/>
          <w:sz w:val="28"/>
        </w:rPr>
        <w:t>1</w:t>
      </w:r>
      <w:r>
        <w:rPr>
          <w:rFonts w:hint="eastAsia" w:ascii="仿宋_GB2312" w:hAnsi="华文仿宋" w:eastAsia="仿宋_GB2312"/>
          <w:sz w:val="28"/>
        </w:rPr>
        <w:t>〕</w:t>
      </w:r>
      <w:r>
        <w:rPr>
          <w:rFonts w:ascii="仿宋_GB2312" w:hAnsi="华文仿宋" w:eastAsia="仿宋_GB2312"/>
          <w:sz w:val="28"/>
        </w:rPr>
        <w:t>42</w:t>
      </w:r>
      <w:r>
        <w:rPr>
          <w:rFonts w:hint="eastAsia" w:ascii="仿宋_GB2312" w:hAnsi="华文仿宋" w:eastAsia="仿宋_GB2312"/>
          <w:sz w:val="28"/>
        </w:rPr>
        <w:t>号</w:t>
      </w:r>
    </w:p>
    <w:p>
      <w:pPr>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ascii="华文中宋" w:hAnsi="华文中宋" w:eastAsia="华文中宋"/>
          <w:b/>
          <w:color w:val="000000" w:themeColor="text1"/>
          <w:sz w:val="32"/>
          <w:szCs w:val="32"/>
          <w14:textFill>
            <w14:solidFill>
              <w14:schemeClr w14:val="tx1"/>
            </w14:solidFill>
          </w14:textFill>
        </w:rPr>
      </w:pPr>
      <w:r>
        <mc:AlternateContent>
          <mc:Choice Requires="wpg">
            <w:drawing>
              <wp:anchor distT="0" distB="0" distL="114300" distR="114300" simplePos="0" relativeHeight="251660288" behindDoc="0" locked="0" layoutInCell="1" allowOverlap="1">
                <wp:simplePos x="0" y="0"/>
                <wp:positionH relativeFrom="margin">
                  <wp:posOffset>3810</wp:posOffset>
                </wp:positionH>
                <wp:positionV relativeFrom="paragraph">
                  <wp:posOffset>172720</wp:posOffset>
                </wp:positionV>
                <wp:extent cx="5763260" cy="55245"/>
                <wp:effectExtent l="0" t="19050" r="8890" b="1905"/>
                <wp:wrapNone/>
                <wp:docPr id="14" name="组合 14"/>
                <wp:cNvGraphicFramePr/>
                <a:graphic xmlns:a="http://schemas.openxmlformats.org/drawingml/2006/main">
                  <a:graphicData uri="http://schemas.microsoft.com/office/word/2010/wordprocessingGroup">
                    <wpg:wgp>
                      <wpg:cNvGrpSpPr/>
                      <wpg:grpSpPr>
                        <a:xfrm flipV="1">
                          <a:off x="0" y="0"/>
                          <a:ext cx="5763260" cy="55245"/>
                          <a:chOff x="1754" y="13792"/>
                          <a:chExt cx="8982" cy="87"/>
                        </a:xfrm>
                      </wpg:grpSpPr>
                      <wps:wsp>
                        <wps:cNvPr id="15" name="自选图形 2"/>
                        <wps:cNvCnPr>
                          <a:cxnSpLocks noChangeShapeType="1"/>
                        </wps:cNvCnPr>
                        <wps:spPr bwMode="auto">
                          <a:xfrm>
                            <a:off x="1760" y="13792"/>
                            <a:ext cx="8976" cy="0"/>
                          </a:xfrm>
                          <a:prstGeom prst="straightConnector1">
                            <a:avLst/>
                          </a:prstGeom>
                          <a:noFill/>
                          <a:ln w="15875">
                            <a:solidFill>
                              <a:srgbClr val="FF0000"/>
                            </a:solidFill>
                            <a:round/>
                          </a:ln>
                        </wps:spPr>
                        <wps:bodyPr/>
                      </wps:wsp>
                      <wps:wsp>
                        <wps:cNvPr id="16" name="自选图形 3"/>
                        <wps:cNvCnPr>
                          <a:cxnSpLocks noChangeShapeType="1"/>
                        </wps:cNvCnPr>
                        <wps:spPr bwMode="auto">
                          <a:xfrm>
                            <a:off x="1754" y="13879"/>
                            <a:ext cx="8976" cy="0"/>
                          </a:xfrm>
                          <a:prstGeom prst="straightConnector1">
                            <a:avLst/>
                          </a:prstGeom>
                          <a:noFill/>
                          <a:ln w="38100">
                            <a:solidFill>
                              <a:srgbClr val="FF0000"/>
                            </a:solidFill>
                            <a:round/>
                          </a:ln>
                        </wps:spPr>
                        <wps:bodyPr/>
                      </wps:wsp>
                    </wpg:wgp>
                  </a:graphicData>
                </a:graphic>
              </wp:anchor>
            </w:drawing>
          </mc:Choice>
          <mc:Fallback>
            <w:pict>
              <v:group id="_x0000_s1026" o:spid="_x0000_s1026" o:spt="203" style="position:absolute;left:0pt;flip:y;margin-left:0.3pt;margin-top:13.6pt;height:4.35pt;width:453.8pt;mso-position-horizontal-relative:margin;z-index:251660288;mso-width-relative:page;mso-height-relative:page;" coordorigin="1754,13792" coordsize="8982,87" o:gfxdata="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DFNeRX1QAAAAYBAAAPAAAAAAAAAAEAIAAAACIAAABkcnMvZG93bnJldi54bWxQSwECFAAUAAAA&#10;CACHTuJA7+zK/5wCAADSBgAADgAAAAAAAAABACAAAAAkAQAAZHJzL2Uyb0RvYy54bWxQSwUGAAAA&#10;AAYABgBZAQAAMgYAAAAA&#10;">
                <o:lock v:ext="edit" aspectratio="f"/>
                <v:shape id="自选图形 2" o:spid="_x0000_s1026" o:spt="32" type="#_x0000_t32" style="position:absolute;left:1760;top:13792;height:0;width:8976;" filled="f" stroked="t" coordsize="21600,21600" o:gfxdata="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es46rsAAADb&#10;AAAADwAAAAAAAAABACAAAAAiAAAAZHJzL2Rvd25yZXYueG1sUEsBAhQAFAAAAAgAh07iQDMvBZ47&#10;AAAAOQAAABAAAAAAAAAAAQAgAAAACgEAAGRycy9zaGFwZXhtbC54bWxQSwUGAAAAAAYABgBbAQAA&#10;tAMAAAAA&#10;">
                  <v:fill on="f" focussize="0,0"/>
                  <v:stroke weight="1.25pt" color="#FF0000" joinstyle="round"/>
                  <v:imagedata o:title=""/>
                  <o:lock v:ext="edit" aspectratio="f"/>
                </v:shape>
                <v:shape id="自选图形 3" o:spid="_x0000_s1026" o:spt="32" type="#_x0000_t32" style="position:absolute;left:1754;top:13879;height:0;width:8976;" filled="f" stroked="t" coordsize="21600,21600" o:gfxdata="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fR/WytwAAANsAAAAP&#10;AAAAAAAAAAEAIAAAACIAAABkcnMvZG93bnJldi54bWxQSwECFAAUAAAACACHTuJAMy8FnjsAAAA5&#10;AAAAEAAAAAAAAAABACAAAAAGAQAAZHJzL3NoYXBleG1sLnhtbFBLBQYAAAAABgAGAFsBAACwAwAA&#10;AAA=&#10;">
                  <v:fill on="f" focussize="0,0"/>
                  <v:stroke weight="3pt" color="#FF0000" joinstyle="round"/>
                  <v:imagedata o:title=""/>
                  <o:lock v:ext="edit" aspectratio="f"/>
                </v:shape>
              </v:group>
            </w:pict>
          </mc:Fallback>
        </mc:AlternateContent>
      </w:r>
      <w:bookmarkEnd w:id="0"/>
    </w:p>
    <w:p>
      <w:pPr>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ascii="华文中宋" w:hAnsi="华文中宋" w:eastAsia="华文中宋" w:cs="华文中宋"/>
          <w:b/>
          <w:bCs/>
          <w:kern w:val="0"/>
          <w:sz w:val="32"/>
          <w:szCs w:val="32"/>
        </w:rPr>
      </w:pPr>
      <w:r>
        <w:rPr>
          <w:rFonts w:hint="eastAsia" w:ascii="华文中宋" w:hAnsi="华文中宋" w:eastAsia="华文中宋" w:cs="华文中宋"/>
          <w:b/>
          <w:bCs/>
          <w:kern w:val="0"/>
          <w:sz w:val="32"/>
          <w:szCs w:val="32"/>
        </w:rPr>
        <w:t>关于开展2</w:t>
      </w:r>
      <w:r>
        <w:rPr>
          <w:rFonts w:ascii="华文中宋" w:hAnsi="华文中宋" w:eastAsia="华文中宋" w:cs="华文中宋"/>
          <w:b/>
          <w:bCs/>
          <w:kern w:val="0"/>
          <w:sz w:val="32"/>
          <w:szCs w:val="32"/>
        </w:rPr>
        <w:t>021</w:t>
      </w:r>
      <w:r>
        <w:rPr>
          <w:rFonts w:hint="eastAsia" w:ascii="华文中宋" w:hAnsi="华文中宋" w:eastAsia="华文中宋" w:cs="华文中宋"/>
          <w:b/>
          <w:bCs/>
          <w:kern w:val="0"/>
          <w:sz w:val="32"/>
          <w:szCs w:val="32"/>
        </w:rPr>
        <w:t>年学校共青团年度考核工作的通知</w:t>
      </w:r>
    </w:p>
    <w:p>
      <w:pPr>
        <w:keepNext w:val="0"/>
        <w:keepLines w:val="0"/>
        <w:pageBreakBefore w:val="0"/>
        <w:widowControl w:val="0"/>
        <w:tabs>
          <w:tab w:val="left" w:pos="851"/>
          <w:tab w:val="left" w:pos="993"/>
        </w:tabs>
        <w:kinsoku/>
        <w:wordWrap/>
        <w:overflowPunct/>
        <w:topLinePunct w:val="0"/>
        <w:autoSpaceDE/>
        <w:autoSpaceDN/>
        <w:bidi w:val="0"/>
        <w:adjustRightInd/>
        <w:snapToGrid/>
        <w:spacing w:line="360" w:lineRule="auto"/>
        <w:ind w:left="0" w:right="0"/>
        <w:jc w:val="center"/>
        <w:textAlignment w:val="auto"/>
        <w:rPr>
          <w:rFonts w:ascii="Times New Roman" w:hAnsi="Times New Roman" w:eastAsia="仿宋_GB2312"/>
          <w:sz w:val="28"/>
          <w:szCs w:val="28"/>
        </w:rPr>
      </w:pPr>
      <w:bookmarkStart w:id="1" w:name="_GoBack"/>
      <w:bookmarkEnd w:id="1"/>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为落实团中央《基层团组织书记述职评议考核暂行办法》，科学开展各级共青团组织年度考核工作，提升共青团工作的科学化水平和对学校发展、学生成长的整体贡献力，现将</w:t>
      </w:r>
      <w:r>
        <w:rPr>
          <w:rFonts w:ascii="仿宋_GB2312" w:hAnsi="Times New Roman" w:eastAsia="仿宋_GB2312"/>
          <w:bCs/>
          <w:color w:val="000000"/>
          <w:sz w:val="28"/>
          <w:szCs w:val="28"/>
        </w:rPr>
        <w:t>2021年共青团</w:t>
      </w:r>
      <w:r>
        <w:rPr>
          <w:rFonts w:hint="eastAsia" w:ascii="仿宋_GB2312" w:hAnsi="Times New Roman" w:eastAsia="仿宋_GB2312"/>
          <w:bCs/>
          <w:color w:val="000000"/>
          <w:sz w:val="28"/>
          <w:szCs w:val="28"/>
        </w:rPr>
        <w:t>年度</w:t>
      </w:r>
      <w:r>
        <w:rPr>
          <w:rFonts w:ascii="仿宋_GB2312" w:hAnsi="Times New Roman" w:eastAsia="仿宋_GB2312"/>
          <w:bCs/>
          <w:color w:val="000000"/>
          <w:sz w:val="28"/>
          <w:szCs w:val="28"/>
        </w:rPr>
        <w:t>考核</w:t>
      </w:r>
      <w:r>
        <w:rPr>
          <w:rFonts w:hint="eastAsia" w:ascii="仿宋_GB2312" w:hAnsi="Times New Roman" w:eastAsia="仿宋_GB2312"/>
          <w:bCs/>
          <w:color w:val="000000"/>
          <w:sz w:val="28"/>
          <w:szCs w:val="28"/>
        </w:rPr>
        <w:t>和基层团组织书记述职评议工作说明</w:t>
      </w:r>
      <w:r>
        <w:rPr>
          <w:rFonts w:ascii="仿宋_GB2312" w:hAnsi="Times New Roman" w:eastAsia="仿宋_GB2312"/>
          <w:bCs/>
          <w:color w:val="000000"/>
          <w:sz w:val="28"/>
          <w:szCs w:val="28"/>
        </w:rPr>
        <w:t>如下</w:t>
      </w:r>
      <w:r>
        <w:rPr>
          <w:rFonts w:hint="eastAsia" w:ascii="仿宋_GB2312" w:hAnsi="Times New Roman" w:eastAsia="仿宋_GB2312"/>
          <w:bCs/>
          <w:color w:val="000000"/>
          <w:sz w:val="28"/>
          <w:szCs w:val="28"/>
        </w:rPr>
        <w:t>。</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outlineLvl w:val="0"/>
        <w:rPr>
          <w:rFonts w:hint="eastAsia" w:ascii="黑体" w:hAnsi="黑体" w:eastAsia="黑体" w:cs="黑体"/>
          <w:b w:val="0"/>
          <w:bCs/>
          <w:color w:val="000000"/>
          <w:sz w:val="28"/>
          <w:szCs w:val="28"/>
        </w:rPr>
      </w:pPr>
      <w:r>
        <w:rPr>
          <w:rFonts w:hint="eastAsia" w:ascii="黑体" w:hAnsi="黑体" w:eastAsia="黑体" w:cs="黑体"/>
          <w:b w:val="0"/>
          <w:bCs/>
          <w:color w:val="000000"/>
          <w:sz w:val="28"/>
          <w:szCs w:val="28"/>
        </w:rPr>
        <w:t>一、组织领导和考核安排</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color w:val="000000"/>
          <w:sz w:val="28"/>
          <w:szCs w:val="28"/>
        </w:rPr>
      </w:pPr>
      <w:r>
        <w:rPr>
          <w:rFonts w:hint="eastAsia" w:ascii="仿宋_GB2312" w:hAnsi="Times New Roman" w:eastAsia="仿宋_GB2312"/>
          <w:color w:val="000000"/>
          <w:sz w:val="28"/>
          <w:szCs w:val="28"/>
        </w:rPr>
        <w:t>校团委成立由团委书记会组成的年度考核工作领导小组，统一领导考核工作；成立由校团委组织部牵头、各部门负责人组成的考核工作小组，具体实施基本工作考核工作；在述职评议考核中聘请校团委专职教师、二级团组织团委书记、校团委各部门主要负责人参与考核工作；在工作满意度考核中聘请各二级团组织代表参与考核工作。</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outlineLvl w:val="0"/>
        <w:rPr>
          <w:rFonts w:hint="eastAsia" w:ascii="黑体" w:hAnsi="黑体" w:eastAsia="黑体" w:cs="黑体"/>
          <w:b w:val="0"/>
          <w:bCs/>
          <w:color w:val="000000"/>
          <w:sz w:val="28"/>
          <w:szCs w:val="28"/>
        </w:rPr>
      </w:pPr>
      <w:r>
        <w:rPr>
          <w:rFonts w:hint="eastAsia" w:ascii="黑体" w:hAnsi="黑体" w:eastAsia="黑体" w:cs="黑体"/>
          <w:b w:val="0"/>
          <w:bCs/>
          <w:color w:val="000000"/>
          <w:sz w:val="28"/>
          <w:szCs w:val="28"/>
        </w:rPr>
        <w:t>二、二级团组织考核办法</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color w:val="000000"/>
          <w:sz w:val="28"/>
          <w:szCs w:val="28"/>
        </w:rPr>
      </w:pPr>
      <w:r>
        <w:rPr>
          <w:rFonts w:hint="eastAsia" w:ascii="仿宋_GB2312" w:hAnsi="Times New Roman" w:eastAsia="仿宋_GB2312"/>
          <w:color w:val="000000"/>
          <w:sz w:val="28"/>
          <w:szCs w:val="28"/>
        </w:rPr>
        <w:t>（1）基本工作考核。基本工作考核是按照全面推进学校共青团事业科学发展的总体要求，对学校共青团年度工作要点进行分解，并结合二级团组织共青团工作实际，对组织建设、思想引领、社会实践、志愿服务、创新创业、文体活动、</w:t>
      </w:r>
      <w:r>
        <w:rPr>
          <w:rFonts w:hint="eastAsia" w:ascii="仿宋_GB2312" w:hAnsi="Times New Roman" w:eastAsia="仿宋_GB2312"/>
          <w:bCs/>
          <w:color w:val="000000"/>
          <w:sz w:val="28"/>
          <w:szCs w:val="28"/>
        </w:rPr>
        <w:t>青年教师团工委、</w:t>
      </w:r>
      <w:r>
        <w:rPr>
          <w:rFonts w:hint="eastAsia" w:ascii="仿宋_GB2312" w:hAnsi="Times New Roman" w:eastAsia="仿宋_GB2312"/>
          <w:color w:val="000000"/>
          <w:sz w:val="28"/>
          <w:szCs w:val="28"/>
        </w:rPr>
        <w:t>助力工程、新闻宣传制度各方面基本工作，设立若干观测点指标进行全面考核评价。根据其量化评价标准（附件1）和二级团组织提交的年度工作总结，由考核领导小组与考核工作小组依据观测点指标完成情况进行量化考核。</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基本工作考核成绩占二级团组织总成绩的</w:t>
      </w:r>
      <w:r>
        <w:rPr>
          <w:rFonts w:ascii="仿宋_GB2312" w:hAnsi="Times New Roman" w:eastAsia="仿宋_GB2312"/>
          <w:bCs/>
          <w:color w:val="000000"/>
          <w:sz w:val="28"/>
          <w:szCs w:val="28"/>
        </w:rPr>
        <w:t>40</w:t>
      </w:r>
      <w:r>
        <w:rPr>
          <w:rFonts w:hint="eastAsia" w:ascii="仿宋_GB2312" w:hAnsi="Times New Roman" w:eastAsia="仿宋_GB2312"/>
          <w:bCs/>
          <w:color w:val="000000"/>
          <w:sz w:val="28"/>
          <w:szCs w:val="28"/>
        </w:rPr>
        <w:t>％。</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color w:val="000000"/>
          <w:sz w:val="28"/>
          <w:szCs w:val="28"/>
        </w:rPr>
        <w:t>（2）述职评议考核。述职评议</w:t>
      </w:r>
      <w:r>
        <w:rPr>
          <w:rFonts w:hint="eastAsia" w:ascii="仿宋_GB2312" w:hAnsi="Times New Roman" w:eastAsia="仿宋_GB2312"/>
          <w:bCs/>
          <w:color w:val="000000"/>
          <w:sz w:val="28"/>
          <w:szCs w:val="28"/>
        </w:rPr>
        <w:t>是反映对二级团组织共青团科学发展目标起着关键作用的工作绩效，主要考核其育人实效及推进落实年度工作的情况。</w:t>
      </w:r>
      <w:r>
        <w:rPr>
          <w:rFonts w:hint="eastAsia" w:ascii="仿宋_GB2312" w:hAnsi="Times New Roman" w:eastAsia="仿宋_GB2312"/>
          <w:bCs/>
          <w:sz w:val="28"/>
          <w:szCs w:val="28"/>
        </w:rPr>
        <w:t>二级团组织书记要参照《基层团组织书记述职评议考核暂定办法》中的要求，结合学校共青团工作重点和本单位实际，对本</w:t>
      </w:r>
      <w:r>
        <w:rPr>
          <w:rFonts w:hint="eastAsia" w:ascii="仿宋_GB2312" w:hAnsi="Times New Roman" w:eastAsia="仿宋_GB2312"/>
          <w:bCs/>
          <w:color w:val="000000"/>
          <w:sz w:val="28"/>
          <w:szCs w:val="28"/>
        </w:rPr>
        <w:t>级团组织履行职责和工作情况进行公开述职，客观总结成绩、查找存在问题、提出改进措施。</w:t>
      </w:r>
      <w:r>
        <w:rPr>
          <w:rFonts w:hint="eastAsia" w:ascii="仿宋_GB2312" w:hAnsi="Times New Roman" w:eastAsia="仿宋_GB2312"/>
          <w:color w:val="000000"/>
          <w:sz w:val="28"/>
          <w:szCs w:val="28"/>
        </w:rPr>
        <w:t>校团委专职教师、二级团组织团委书记和校团委各部门主要负责人</w:t>
      </w:r>
      <w:r>
        <w:rPr>
          <w:rFonts w:hint="eastAsia" w:ascii="仿宋_GB2312" w:hAnsi="Times New Roman" w:eastAsia="仿宋_GB2312"/>
          <w:bCs/>
          <w:color w:val="000000"/>
          <w:sz w:val="28"/>
          <w:szCs w:val="28"/>
        </w:rPr>
        <w:t>作为考核人员，根据述职评议和日常掌握情况对二级团组织的工作情况形成综合评价意见，肯定成绩，指出问题，评价下一年度二级团组织拟确定的重点工作和思路设想。</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述职评议考核成绩占二级团组织总成绩的</w:t>
      </w:r>
      <w:r>
        <w:rPr>
          <w:rFonts w:ascii="仿宋_GB2312" w:hAnsi="Times New Roman" w:eastAsia="仿宋_GB2312"/>
          <w:bCs/>
          <w:color w:val="000000"/>
          <w:sz w:val="28"/>
          <w:szCs w:val="28"/>
        </w:rPr>
        <w:t>60</w:t>
      </w:r>
      <w:r>
        <w:rPr>
          <w:rFonts w:hint="eastAsia" w:ascii="仿宋_GB2312" w:hAnsi="Times New Roman" w:eastAsia="仿宋_GB2312"/>
          <w:bCs/>
          <w:color w:val="000000"/>
          <w:sz w:val="28"/>
          <w:szCs w:val="28"/>
        </w:rPr>
        <w:t>％。</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二级团组织总成绩由上述考核成绩加权构成，即：二级团组织成绩＝基本工作成绩×</w:t>
      </w:r>
      <w:r>
        <w:rPr>
          <w:rFonts w:ascii="仿宋_GB2312" w:hAnsi="Times New Roman" w:eastAsia="仿宋_GB2312"/>
          <w:bCs/>
          <w:color w:val="000000"/>
          <w:sz w:val="28"/>
          <w:szCs w:val="28"/>
        </w:rPr>
        <w:t>40</w:t>
      </w:r>
      <w:r>
        <w:rPr>
          <w:rFonts w:hint="eastAsia" w:ascii="仿宋_GB2312" w:hAnsi="Times New Roman" w:eastAsia="仿宋_GB2312"/>
          <w:bCs/>
          <w:color w:val="000000"/>
          <w:sz w:val="28"/>
          <w:szCs w:val="28"/>
        </w:rPr>
        <w:t>％＋述职评议考核成绩×</w:t>
      </w:r>
      <w:r>
        <w:rPr>
          <w:rFonts w:ascii="仿宋_GB2312" w:hAnsi="Times New Roman" w:eastAsia="仿宋_GB2312"/>
          <w:bCs/>
          <w:color w:val="000000"/>
          <w:sz w:val="28"/>
          <w:szCs w:val="28"/>
        </w:rPr>
        <w:t>60</w:t>
      </w:r>
      <w:r>
        <w:rPr>
          <w:rFonts w:hint="eastAsia" w:ascii="仿宋_GB2312" w:hAnsi="Times New Roman" w:eastAsia="仿宋_GB2312"/>
          <w:bCs/>
          <w:color w:val="000000"/>
          <w:sz w:val="28"/>
          <w:szCs w:val="28"/>
        </w:rPr>
        <w:t>％。对年内工作发生重大失误或发生安全稳定等事故的单位，由考核领导小组视情况对二级团组织成绩进行扣分。根据二级团组织考核总成绩确定“好、较好、一般、差”等次，评价为“一般”及以下等次的应占一定比例。综合评价意见及等次确定后，向评议考核基层团委及其同级党组织反馈，并在一定范围内通报。</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outlineLvl w:val="0"/>
        <w:rPr>
          <w:rFonts w:hint="eastAsia" w:ascii="黑体" w:hAnsi="黑体" w:eastAsia="黑体" w:cs="黑体"/>
          <w:b w:val="0"/>
          <w:bCs/>
          <w:color w:val="000000"/>
          <w:sz w:val="28"/>
          <w:szCs w:val="28"/>
        </w:rPr>
      </w:pPr>
      <w:r>
        <w:rPr>
          <w:rFonts w:hint="eastAsia" w:ascii="黑体" w:hAnsi="黑体" w:eastAsia="黑体" w:cs="黑体"/>
          <w:b w:val="0"/>
          <w:bCs/>
          <w:color w:val="000000"/>
          <w:sz w:val="28"/>
          <w:szCs w:val="28"/>
        </w:rPr>
        <w:t>三、团委内设机构考核办法</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对团委内设机构工作的考核是年度考核工作的基础。考核分为基本工作考核、述职评议考核、满意度测评三部分。</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color w:val="000000"/>
          <w:sz w:val="28"/>
          <w:szCs w:val="28"/>
        </w:rPr>
        <w:t>（1）基本工作考核。</w:t>
      </w:r>
      <w:r>
        <w:rPr>
          <w:rFonts w:hint="eastAsia" w:ascii="仿宋_GB2312" w:hAnsi="Times New Roman" w:eastAsia="仿宋_GB2312"/>
          <w:bCs/>
          <w:color w:val="000000"/>
          <w:sz w:val="28"/>
          <w:szCs w:val="28"/>
        </w:rPr>
        <w:t>基本工作考核是对团委内设机构按照工作职责和职能分工在全面推进学校共青团工作科学发展中发挥作用情况的基本评价，主要考核内设机构基本工作目标任务的完成情况。由校团委书记会根据学校共青团年度工作要点结合各部门年度工作总结考核工作完成情况。</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基本工作考核成绩占团委内设机构总成绩的40％。</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color w:val="000000"/>
          <w:sz w:val="28"/>
          <w:szCs w:val="28"/>
        </w:rPr>
        <w:t>（2）述职评议考核。主</w:t>
      </w:r>
      <w:r>
        <w:rPr>
          <w:rFonts w:hint="eastAsia" w:ascii="仿宋_GB2312" w:hAnsi="Times New Roman" w:eastAsia="仿宋_GB2312"/>
          <w:bCs/>
          <w:color w:val="000000"/>
          <w:sz w:val="28"/>
          <w:szCs w:val="28"/>
        </w:rPr>
        <w:t>要考核校团委内设机构推进落实年度重点工作的情况和工作质量。由各部门做公开述职，考核人员根据述职评议和日常掌握情况进行测评评价。公开述职应在简要阐述部门总体工作的基础上，重点报告各部门落实和推进校团委重点工作的情况以及工作创新思考和实施效果。</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述职评议考核成绩占团委内设机构总成绩的30％。</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color w:val="000000"/>
          <w:sz w:val="28"/>
          <w:szCs w:val="28"/>
        </w:rPr>
        <w:t>（3）满意度考核。</w:t>
      </w:r>
      <w:r>
        <w:rPr>
          <w:rFonts w:hint="eastAsia" w:ascii="仿宋_GB2312" w:hAnsi="Times New Roman" w:eastAsia="仿宋_GB2312"/>
          <w:bCs/>
          <w:color w:val="000000"/>
          <w:sz w:val="28"/>
          <w:szCs w:val="28"/>
        </w:rPr>
        <w:t>满意度考核是各二级团组织教师、学生对校团委机关各部门科学发展、育人职能和服务态度等项目的民主评价。由二级团组织代表对团委内设机构工作进行测评评价。</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满意度考核成绩占团委内设机构总成绩的30％。</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团委内设机构考核总成绩由上述考核成绩加权构成，即：团委内设机构成绩＝基本工作考核成绩×40％+述职评议成绩×30％＋满意度考核成绩×30％。对年内工作发生重大失误或发生安全稳定等事故的单位，由考核领导小组视情况对团委机关成绩进行扣分。</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outlineLvl w:val="0"/>
        <w:rPr>
          <w:rFonts w:hint="eastAsia" w:ascii="黑体" w:hAnsi="黑体" w:eastAsia="黑体" w:cs="黑体"/>
          <w:b w:val="0"/>
          <w:bCs/>
          <w:color w:val="000000"/>
          <w:sz w:val="28"/>
          <w:szCs w:val="28"/>
        </w:rPr>
      </w:pPr>
      <w:r>
        <w:rPr>
          <w:rFonts w:hint="eastAsia" w:ascii="黑体" w:hAnsi="黑体" w:eastAsia="黑体" w:cs="黑体"/>
          <w:b w:val="0"/>
          <w:bCs/>
          <w:color w:val="000000"/>
          <w:sz w:val="28"/>
          <w:szCs w:val="28"/>
        </w:rPr>
        <w:t>四、考核推进安排</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1.基本工作考核。（202</w:t>
      </w:r>
      <w:r>
        <w:rPr>
          <w:rFonts w:ascii="仿宋_GB2312" w:hAnsi="Times New Roman" w:eastAsia="仿宋_GB2312"/>
          <w:bCs/>
          <w:color w:val="000000"/>
          <w:sz w:val="28"/>
          <w:szCs w:val="28"/>
        </w:rPr>
        <w:t>1</w:t>
      </w:r>
      <w:r>
        <w:rPr>
          <w:rFonts w:hint="eastAsia" w:ascii="仿宋_GB2312" w:hAnsi="Times New Roman" w:eastAsia="仿宋_GB2312"/>
          <w:bCs/>
          <w:color w:val="000000"/>
          <w:sz w:val="28"/>
          <w:szCs w:val="28"/>
        </w:rPr>
        <w:t>年</w:t>
      </w:r>
      <w:r>
        <w:rPr>
          <w:rFonts w:ascii="仿宋_GB2312" w:hAnsi="Times New Roman" w:eastAsia="仿宋_GB2312"/>
          <w:bCs/>
          <w:color w:val="000000"/>
          <w:sz w:val="28"/>
          <w:szCs w:val="28"/>
        </w:rPr>
        <w:t>12</w:t>
      </w:r>
      <w:r>
        <w:rPr>
          <w:rFonts w:hint="eastAsia" w:ascii="仿宋_GB2312" w:hAnsi="Times New Roman" w:eastAsia="仿宋_GB2312"/>
          <w:bCs/>
          <w:color w:val="000000"/>
          <w:sz w:val="28"/>
          <w:szCs w:val="28"/>
        </w:rPr>
        <w:t>月初至1</w:t>
      </w:r>
      <w:r>
        <w:rPr>
          <w:rFonts w:ascii="仿宋_GB2312" w:hAnsi="Times New Roman" w:eastAsia="仿宋_GB2312"/>
          <w:bCs/>
          <w:color w:val="000000"/>
          <w:sz w:val="28"/>
          <w:szCs w:val="28"/>
        </w:rPr>
        <w:t>2</w:t>
      </w:r>
      <w:r>
        <w:rPr>
          <w:rFonts w:hint="eastAsia" w:ascii="仿宋_GB2312" w:hAnsi="Times New Roman" w:eastAsia="仿宋_GB2312"/>
          <w:bCs/>
          <w:color w:val="000000"/>
          <w:sz w:val="28"/>
          <w:szCs w:val="28"/>
        </w:rPr>
        <w:t>月中旬）</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请各单位围绕考核办法进行自查与总结。各二级团组织应于1</w:t>
      </w:r>
      <w:r>
        <w:rPr>
          <w:rFonts w:ascii="仿宋_GB2312" w:hAnsi="Times New Roman" w:eastAsia="仿宋_GB2312"/>
          <w:bCs/>
          <w:color w:val="000000"/>
          <w:sz w:val="28"/>
          <w:szCs w:val="28"/>
        </w:rPr>
        <w:t>2</w:t>
      </w:r>
      <w:r>
        <w:rPr>
          <w:rFonts w:hint="eastAsia" w:ascii="仿宋_GB2312" w:hAnsi="Times New Roman" w:eastAsia="仿宋_GB2312"/>
          <w:bCs/>
          <w:color w:val="000000"/>
          <w:sz w:val="28"/>
          <w:szCs w:val="28"/>
        </w:rPr>
        <w:t>月2</w:t>
      </w:r>
      <w:r>
        <w:rPr>
          <w:rFonts w:ascii="仿宋_GB2312" w:hAnsi="Times New Roman" w:eastAsia="仿宋_GB2312"/>
          <w:bCs/>
          <w:color w:val="000000"/>
          <w:sz w:val="28"/>
          <w:szCs w:val="28"/>
        </w:rPr>
        <w:t>4</w:t>
      </w:r>
      <w:r>
        <w:rPr>
          <w:rFonts w:hint="eastAsia" w:ascii="仿宋_GB2312" w:hAnsi="Times New Roman" w:eastAsia="仿宋_GB2312"/>
          <w:bCs/>
          <w:color w:val="000000"/>
          <w:sz w:val="28"/>
          <w:szCs w:val="28"/>
        </w:rPr>
        <w:t>日前上交年度工作总结（本科学院1</w:t>
      </w:r>
      <w:r>
        <w:rPr>
          <w:rFonts w:ascii="仿宋_GB2312" w:hAnsi="Times New Roman" w:eastAsia="仿宋_GB2312"/>
          <w:bCs/>
          <w:color w:val="000000"/>
          <w:sz w:val="28"/>
          <w:szCs w:val="28"/>
        </w:rPr>
        <w:t>500</w:t>
      </w:r>
      <w:r>
        <w:rPr>
          <w:rFonts w:hint="eastAsia" w:ascii="仿宋_GB2312" w:hAnsi="Times New Roman" w:eastAsia="仿宋_GB2312"/>
          <w:bCs/>
          <w:color w:val="000000"/>
          <w:sz w:val="28"/>
          <w:szCs w:val="28"/>
        </w:rPr>
        <w:t>字左右，研究生培养单位1</w:t>
      </w:r>
      <w:r>
        <w:rPr>
          <w:rFonts w:ascii="仿宋_GB2312" w:hAnsi="Times New Roman" w:eastAsia="仿宋_GB2312"/>
          <w:bCs/>
          <w:color w:val="000000"/>
          <w:sz w:val="28"/>
          <w:szCs w:val="28"/>
        </w:rPr>
        <w:t>000</w:t>
      </w:r>
      <w:r>
        <w:rPr>
          <w:rFonts w:hint="eastAsia" w:ascii="仿宋_GB2312" w:hAnsi="Times New Roman" w:eastAsia="仿宋_GB2312"/>
          <w:bCs/>
          <w:color w:val="000000"/>
          <w:sz w:val="28"/>
          <w:szCs w:val="28"/>
        </w:rPr>
        <w:t>字左右）、述职P</w:t>
      </w:r>
      <w:r>
        <w:rPr>
          <w:rFonts w:ascii="仿宋_GB2312" w:hAnsi="Times New Roman" w:eastAsia="仿宋_GB2312"/>
          <w:bCs/>
          <w:color w:val="000000"/>
          <w:sz w:val="28"/>
          <w:szCs w:val="28"/>
        </w:rPr>
        <w:t>PT</w:t>
      </w:r>
      <w:r>
        <w:rPr>
          <w:rFonts w:hint="eastAsia" w:ascii="仿宋_GB2312" w:hAnsi="Times New Roman" w:eastAsia="仿宋_GB2312"/>
          <w:bCs/>
          <w:color w:val="000000"/>
          <w:sz w:val="28"/>
          <w:szCs w:val="28"/>
        </w:rPr>
        <w:t>和校团委内设机构满意度考核评价（附件</w:t>
      </w:r>
      <w:r>
        <w:rPr>
          <w:rFonts w:ascii="仿宋_GB2312" w:hAnsi="Times New Roman" w:eastAsia="仿宋_GB2312"/>
          <w:bCs/>
          <w:color w:val="000000"/>
          <w:sz w:val="28"/>
          <w:szCs w:val="28"/>
        </w:rPr>
        <w:t>2</w:t>
      </w:r>
      <w:r>
        <w:rPr>
          <w:rFonts w:hint="eastAsia" w:ascii="仿宋_GB2312" w:hAnsi="Times New Roman" w:eastAsia="仿宋_GB2312"/>
          <w:bCs/>
          <w:color w:val="000000"/>
          <w:sz w:val="28"/>
          <w:szCs w:val="28"/>
        </w:rPr>
        <w:t>）；校团委内设机构应于1</w:t>
      </w:r>
      <w:r>
        <w:rPr>
          <w:rFonts w:ascii="仿宋_GB2312" w:hAnsi="Times New Roman" w:eastAsia="仿宋_GB2312"/>
          <w:bCs/>
          <w:color w:val="000000"/>
          <w:sz w:val="28"/>
          <w:szCs w:val="28"/>
        </w:rPr>
        <w:t>2</w:t>
      </w:r>
      <w:r>
        <w:rPr>
          <w:rFonts w:hint="eastAsia" w:ascii="仿宋_GB2312" w:hAnsi="Times New Roman" w:eastAsia="仿宋_GB2312"/>
          <w:bCs/>
          <w:color w:val="000000"/>
          <w:sz w:val="28"/>
          <w:szCs w:val="28"/>
        </w:rPr>
        <w:t>月2</w:t>
      </w:r>
      <w:r>
        <w:rPr>
          <w:rFonts w:ascii="仿宋_GB2312" w:hAnsi="Times New Roman" w:eastAsia="仿宋_GB2312"/>
          <w:bCs/>
          <w:color w:val="000000"/>
          <w:sz w:val="28"/>
          <w:szCs w:val="28"/>
        </w:rPr>
        <w:t>4</w:t>
      </w:r>
      <w:r>
        <w:rPr>
          <w:rFonts w:hint="eastAsia" w:ascii="仿宋_GB2312" w:hAnsi="Times New Roman" w:eastAsia="仿宋_GB2312"/>
          <w:bCs/>
          <w:color w:val="000000"/>
          <w:sz w:val="28"/>
          <w:szCs w:val="28"/>
        </w:rPr>
        <w:t>日前上交年度工作总结（1000字左右）和述职P</w:t>
      </w:r>
      <w:r>
        <w:rPr>
          <w:rFonts w:ascii="仿宋_GB2312" w:hAnsi="Times New Roman" w:eastAsia="仿宋_GB2312"/>
          <w:bCs/>
          <w:color w:val="000000"/>
          <w:sz w:val="28"/>
          <w:szCs w:val="28"/>
        </w:rPr>
        <w:t>PT</w:t>
      </w:r>
      <w:r>
        <w:rPr>
          <w:rFonts w:hint="eastAsia" w:ascii="仿宋_GB2312" w:hAnsi="Times New Roman" w:eastAsia="仿宋_GB2312"/>
          <w:bCs/>
          <w:color w:val="000000"/>
          <w:sz w:val="28"/>
          <w:szCs w:val="28"/>
        </w:rPr>
        <w:t>。材料报送至校团委组织部邮箱。</w:t>
      </w:r>
    </w:p>
    <w:p>
      <w:pPr>
        <w:keepNext w:val="0"/>
        <w:keepLines w:val="0"/>
        <w:pageBreakBefore w:val="0"/>
        <w:widowControl w:val="0"/>
        <w:tabs>
          <w:tab w:val="left" w:pos="312"/>
          <w:tab w:val="left" w:pos="851"/>
        </w:tabs>
        <w:kinsoku/>
        <w:wordWrap/>
        <w:overflowPunct/>
        <w:topLinePunct w:val="0"/>
        <w:autoSpaceDE/>
        <w:autoSpaceDN/>
        <w:bidi w:val="0"/>
        <w:adjustRightInd/>
        <w:snapToGrid/>
        <w:spacing w:line="360" w:lineRule="auto"/>
        <w:ind w:left="0" w:right="0"/>
        <w:textAlignment w:val="auto"/>
        <w:rPr>
          <w:rFonts w:ascii="仿宋_GB2312" w:hAnsi="Times New Roman" w:eastAsia="仿宋_GB2312"/>
          <w:bCs/>
          <w:color w:val="000000"/>
          <w:sz w:val="28"/>
          <w:szCs w:val="28"/>
        </w:rPr>
      </w:pPr>
      <w:r>
        <w:rPr>
          <w:rFonts w:ascii="仿宋_GB2312" w:hAnsi="Times New Roman" w:eastAsia="仿宋_GB2312"/>
          <w:bCs/>
          <w:color w:val="000000"/>
          <w:sz w:val="28"/>
          <w:szCs w:val="28"/>
        </w:rPr>
        <w:t>2.</w:t>
      </w:r>
      <w:r>
        <w:rPr>
          <w:rFonts w:hint="eastAsia" w:ascii="仿宋_GB2312" w:hAnsi="Times New Roman" w:eastAsia="仿宋_GB2312"/>
          <w:bCs/>
          <w:color w:val="000000"/>
          <w:sz w:val="28"/>
          <w:szCs w:val="28"/>
        </w:rPr>
        <w:t>述职评议考核。（202</w:t>
      </w:r>
      <w:r>
        <w:rPr>
          <w:rFonts w:ascii="仿宋_GB2312" w:hAnsi="Times New Roman" w:eastAsia="仿宋_GB2312"/>
          <w:bCs/>
          <w:color w:val="000000"/>
          <w:sz w:val="28"/>
          <w:szCs w:val="28"/>
        </w:rPr>
        <w:t>1</w:t>
      </w:r>
      <w:r>
        <w:rPr>
          <w:rFonts w:hint="eastAsia" w:ascii="仿宋_GB2312" w:hAnsi="Times New Roman" w:eastAsia="仿宋_GB2312"/>
          <w:bCs/>
          <w:color w:val="000000"/>
          <w:sz w:val="28"/>
          <w:szCs w:val="28"/>
        </w:rPr>
        <w:t>年12月下旬）</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举行共青团工作公开述职活动，拟于12月下旬组织公开述职。</w:t>
      </w:r>
    </w:p>
    <w:p>
      <w:pPr>
        <w:keepNext w:val="0"/>
        <w:keepLines w:val="0"/>
        <w:pageBreakBefore w:val="0"/>
        <w:widowControl w:val="0"/>
        <w:tabs>
          <w:tab w:val="left" w:pos="312"/>
          <w:tab w:val="left" w:pos="851"/>
        </w:tabs>
        <w:kinsoku/>
        <w:wordWrap/>
        <w:overflowPunct/>
        <w:topLinePunct w:val="0"/>
        <w:autoSpaceDE/>
        <w:autoSpaceDN/>
        <w:bidi w:val="0"/>
        <w:adjustRightInd/>
        <w:snapToGrid/>
        <w:spacing w:line="360" w:lineRule="auto"/>
        <w:ind w:left="0" w:right="0"/>
        <w:textAlignment w:val="auto"/>
        <w:rPr>
          <w:rFonts w:ascii="仿宋_GB2312" w:hAnsi="Times New Roman" w:eastAsia="仿宋_GB2312"/>
          <w:bCs/>
          <w:color w:val="000000"/>
          <w:sz w:val="28"/>
          <w:szCs w:val="28"/>
        </w:rPr>
      </w:pPr>
      <w:r>
        <w:rPr>
          <w:rFonts w:ascii="仿宋_GB2312" w:hAnsi="Times New Roman" w:eastAsia="仿宋_GB2312"/>
          <w:bCs/>
          <w:color w:val="000000"/>
          <w:sz w:val="28"/>
          <w:szCs w:val="28"/>
        </w:rPr>
        <w:t>3.</w:t>
      </w:r>
      <w:r>
        <w:rPr>
          <w:rFonts w:hint="eastAsia" w:ascii="仿宋_GB2312" w:hAnsi="Times New Roman" w:eastAsia="仿宋_GB2312"/>
          <w:bCs/>
          <w:color w:val="000000"/>
          <w:sz w:val="28"/>
          <w:szCs w:val="28"/>
        </w:rPr>
        <w:t>公示、总结与表彰。</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对考核结果进行内部公示，开展总结与表彰。</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outlineLvl w:val="0"/>
        <w:rPr>
          <w:rFonts w:hint="eastAsia" w:ascii="黑体" w:hAnsi="黑体" w:eastAsia="黑体" w:cs="黑体"/>
          <w:b w:val="0"/>
          <w:bCs/>
          <w:color w:val="000000"/>
          <w:sz w:val="28"/>
          <w:szCs w:val="28"/>
        </w:rPr>
      </w:pPr>
      <w:r>
        <w:rPr>
          <w:rFonts w:hint="eastAsia" w:ascii="黑体" w:hAnsi="黑体" w:eastAsia="黑体" w:cs="黑体"/>
          <w:b w:val="0"/>
          <w:bCs/>
          <w:color w:val="000000"/>
          <w:sz w:val="28"/>
          <w:szCs w:val="28"/>
        </w:rPr>
        <w:t>五、考核结果的反馈和运用</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二级团组织考核结果经校团委书记会审议通过后，在一定范围内公示。公示无异议后，由考核小组进行反馈，针对考核中指出的问题，二级团组织书记要及时梳理短板弱项，列出问题清单，认真抓好整改落实。整改落实情况将列入下一年度述职评议内容。</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校团委将根据二级团组织考核得分情况对各二级团组织进行评优，总体得分前三名的二级团组织授予“北京科技大学五四红旗团委”荣誉称号，奖励二级团组织团委3000元。同时针对二级团组织共青团工作设置“团学工作专项奖”，包括组织建设、思想引领、社会实践、志愿服务、创新创业、文体活动、青年教师团工委、助力工程、新闻宣传9个专项，每个专项奖将设立1-4个名额，每个奖项奖励学院团委2000元。</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校团委内设机构的考核结果经校团委书记会审议通过后，在一定范围内公示。奖励措施由团委书记会讨论决定。</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outlineLvl w:val="0"/>
        <w:rPr>
          <w:rFonts w:hint="eastAsia" w:ascii="黑体" w:hAnsi="黑体" w:eastAsia="黑体" w:cs="黑体"/>
          <w:b w:val="0"/>
          <w:bCs/>
          <w:color w:val="000000"/>
          <w:sz w:val="28"/>
          <w:szCs w:val="28"/>
        </w:rPr>
      </w:pPr>
      <w:r>
        <w:rPr>
          <w:rFonts w:hint="eastAsia" w:ascii="黑体" w:hAnsi="黑体" w:eastAsia="黑体" w:cs="黑体"/>
          <w:b w:val="0"/>
          <w:bCs/>
          <w:color w:val="000000"/>
          <w:sz w:val="28"/>
          <w:szCs w:val="28"/>
        </w:rPr>
        <w:t>六、考核工作的具体要求</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1.各单位要充分认识考评工作的重要意义，认真贯彻执行本考评办法和相关文件，做好每个环节的工作，使考评工作切实起到鼓励先进、督促后进的作用；不参与考评的单位将取消团委的评优资格。</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2.二级团组织的年度工作总结将通过考评工作小组进行网上公示，以便考评人员全面、客观地了解其工作情况。</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Times New Roman" w:hAnsi="Times New Roman" w:eastAsia="仿宋_GB2312"/>
          <w:bCs/>
          <w:color w:val="000000"/>
          <w:sz w:val="28"/>
          <w:szCs w:val="28"/>
        </w:rPr>
      </w:pP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联 系 人：陈佳栋、齐勃宇</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联系电话：6233-3714</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办公地点：学生活动中心7斋233室</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报送邮箱：ustbtwzzb@163.com</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Times New Roman" w:hAnsi="Times New Roman" w:eastAsia="仿宋_GB2312"/>
          <w:bCs/>
          <w:color w:val="000000"/>
          <w:sz w:val="28"/>
          <w:szCs w:val="28"/>
        </w:rPr>
      </w:pP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附件</w:t>
      </w:r>
      <w:r>
        <w:rPr>
          <w:rFonts w:ascii="仿宋_GB2312" w:hAnsi="Times New Roman" w:eastAsia="仿宋_GB2312"/>
          <w:bCs/>
          <w:color w:val="000000"/>
          <w:sz w:val="28"/>
          <w:szCs w:val="28"/>
        </w:rPr>
        <w:t>1</w:t>
      </w:r>
      <w:r>
        <w:rPr>
          <w:rFonts w:hint="eastAsia" w:ascii="仿宋_GB2312" w:hAnsi="Times New Roman" w:eastAsia="仿宋_GB2312"/>
          <w:bCs/>
          <w:color w:val="000000"/>
          <w:sz w:val="28"/>
          <w:szCs w:val="28"/>
        </w:rPr>
        <w:t>：2021年二级团组织共青团基本工作考核量化评价标准</w:t>
      </w:r>
    </w:p>
    <w:p>
      <w:pPr>
        <w:keepNext w:val="0"/>
        <w:keepLines w:val="0"/>
        <w:pageBreakBefore w:val="0"/>
        <w:widowControl w:val="0"/>
        <w:kinsoku/>
        <w:wordWrap/>
        <w:overflowPunct/>
        <w:topLinePunct w:val="0"/>
        <w:autoSpaceDE/>
        <w:autoSpaceDN/>
        <w:bidi w:val="0"/>
        <w:adjustRightInd/>
        <w:snapToGrid/>
        <w:spacing w:line="360" w:lineRule="auto"/>
        <w:ind w:left="0" w:right="0" w:firstLine="560" w:firstLineChars="200"/>
        <w:textAlignment w:val="auto"/>
        <w:rPr>
          <w:rFonts w:ascii="仿宋_GB2312" w:hAnsi="Times New Roman" w:eastAsia="仿宋_GB2312"/>
          <w:bCs/>
          <w:color w:val="000000"/>
          <w:sz w:val="28"/>
          <w:szCs w:val="28"/>
        </w:rPr>
      </w:pPr>
      <w:r>
        <w:rPr>
          <w:rFonts w:hint="eastAsia" w:ascii="仿宋_GB2312" w:hAnsi="Times New Roman" w:eastAsia="仿宋_GB2312"/>
          <w:bCs/>
          <w:color w:val="000000"/>
          <w:sz w:val="28"/>
          <w:szCs w:val="28"/>
        </w:rPr>
        <w:t>附件</w:t>
      </w:r>
      <w:r>
        <w:rPr>
          <w:rFonts w:ascii="仿宋_GB2312" w:hAnsi="Times New Roman" w:eastAsia="仿宋_GB2312"/>
          <w:bCs/>
          <w:color w:val="000000"/>
          <w:sz w:val="28"/>
          <w:szCs w:val="28"/>
        </w:rPr>
        <w:t>2</w:t>
      </w:r>
      <w:r>
        <w:rPr>
          <w:rFonts w:hint="eastAsia" w:ascii="仿宋_GB2312" w:hAnsi="Times New Roman" w:eastAsia="仿宋_GB2312"/>
          <w:bCs/>
          <w:color w:val="000000"/>
          <w:sz w:val="28"/>
          <w:szCs w:val="28"/>
        </w:rPr>
        <w:t>：校团委内设机构满意度考核评价</w:t>
      </w: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textAlignment w:val="auto"/>
        <w:rPr>
          <w:rFonts w:ascii="Times New Roman" w:hAnsi="Times New Roman" w:eastAsia="仿宋_GB2312"/>
          <w:bCs/>
          <w:color w:val="000000"/>
          <w:sz w:val="28"/>
          <w:szCs w:val="28"/>
        </w:rPr>
      </w:pPr>
    </w:p>
    <w:p>
      <w:pPr>
        <w:keepNext w:val="0"/>
        <w:keepLines w:val="0"/>
        <w:pageBreakBefore w:val="0"/>
        <w:widowControl w:val="0"/>
        <w:tabs>
          <w:tab w:val="left" w:pos="851"/>
        </w:tabs>
        <w:kinsoku/>
        <w:wordWrap/>
        <w:overflowPunct/>
        <w:topLinePunct w:val="0"/>
        <w:autoSpaceDE/>
        <w:autoSpaceDN/>
        <w:bidi w:val="0"/>
        <w:adjustRightInd/>
        <w:snapToGrid/>
        <w:spacing w:line="360" w:lineRule="auto"/>
        <w:ind w:left="0" w:right="0" w:firstLine="560" w:firstLineChars="200"/>
        <w:jc w:val="right"/>
        <w:textAlignment w:val="auto"/>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共青团北京科技大学委员会</w:t>
      </w:r>
    </w:p>
    <w:p>
      <w:pPr>
        <w:keepNext w:val="0"/>
        <w:keepLines w:val="0"/>
        <w:pageBreakBefore w:val="0"/>
        <w:widowControl w:val="0"/>
        <w:tabs>
          <w:tab w:val="left" w:pos="851"/>
        </w:tabs>
        <w:kinsoku/>
        <w:wordWrap w:val="0"/>
        <w:overflowPunct/>
        <w:topLinePunct w:val="0"/>
        <w:autoSpaceDE/>
        <w:autoSpaceDN/>
        <w:bidi w:val="0"/>
        <w:adjustRightInd/>
        <w:snapToGrid/>
        <w:spacing w:line="360" w:lineRule="auto"/>
        <w:ind w:left="0" w:right="0" w:firstLine="560" w:firstLineChars="200"/>
        <w:jc w:val="right"/>
        <w:textAlignment w:val="auto"/>
        <w:rPr>
          <w:rFonts w:hint="default" w:ascii="Times New Roman" w:hAnsi="Times New Roman" w:eastAsia="仿宋_GB2312"/>
          <w:bCs/>
          <w:color w:val="000000"/>
          <w:sz w:val="28"/>
          <w:szCs w:val="28"/>
          <w:lang w:val="en-US" w:eastAsia="zh-CN"/>
        </w:rPr>
      </w:pPr>
      <w:r>
        <w:rPr>
          <w:rFonts w:hint="eastAsia" w:ascii="仿宋_GB2312" w:hAnsi="仿宋_GB2312" w:eastAsia="仿宋_GB2312" w:cs="仿宋_GB2312"/>
          <w:bCs/>
          <w:color w:val="000000"/>
          <w:sz w:val="28"/>
          <w:szCs w:val="28"/>
        </w:rPr>
        <w:t>2021年12月6日</w:t>
      </w:r>
      <w:r>
        <w:rPr>
          <w:rFonts w:hint="eastAsia" w:ascii="仿宋_GB2312" w:hAnsi="仿宋_GB2312" w:eastAsia="仿宋_GB2312" w:cs="仿宋_GB2312"/>
          <w:bCs/>
          <w:color w:val="000000"/>
          <w:sz w:val="28"/>
          <w:szCs w:val="28"/>
          <w:lang w:val="en-US" w:eastAsia="zh-CN"/>
        </w:rPr>
        <w:t xml:space="preserve">    </w:t>
      </w:r>
    </w:p>
    <w:sectPr>
      <w:headerReference r:id="rId3" w:type="default"/>
      <w:footerReference r:id="rId4"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仿宋_GB2312" w:hAnsi="宋体" w:eastAsia="仿宋_GB2312"/>
        <w:sz w:val="21"/>
        <w:szCs w:val="21"/>
      </w:rPr>
    </w:pPr>
    <w:r>
      <w:rPr>
        <w:rFonts w:hint="eastAsia" w:ascii="仿宋_GB2312" w:hAnsi="宋体" w:eastAsia="仿宋_GB2312"/>
        <w:sz w:val="21"/>
        <w:szCs w:val="21"/>
      </w:rPr>
      <w:fldChar w:fldCharType="begin"/>
    </w:r>
    <w:r>
      <w:rPr>
        <w:rFonts w:hint="eastAsia" w:ascii="仿宋_GB2312" w:hAnsi="宋体" w:eastAsia="仿宋_GB2312"/>
        <w:sz w:val="21"/>
        <w:szCs w:val="21"/>
      </w:rPr>
      <w:instrText xml:space="preserve"> PAGE   \* MERGEFORMAT </w:instrText>
    </w:r>
    <w:r>
      <w:rPr>
        <w:rFonts w:hint="eastAsia" w:ascii="仿宋_GB2312" w:hAnsi="宋体" w:eastAsia="仿宋_GB2312"/>
        <w:sz w:val="21"/>
        <w:szCs w:val="21"/>
      </w:rPr>
      <w:fldChar w:fldCharType="separate"/>
    </w:r>
    <w:r>
      <w:rPr>
        <w:rFonts w:ascii="仿宋_GB2312" w:hAnsi="宋体" w:eastAsia="仿宋_GB2312"/>
        <w:sz w:val="21"/>
        <w:szCs w:val="21"/>
        <w:lang w:val="zh-CN"/>
      </w:rPr>
      <w:t>5</w:t>
    </w:r>
    <w:r>
      <w:rPr>
        <w:rFonts w:hint="eastAsia" w:ascii="仿宋_GB2312" w:hAnsi="宋体" w:eastAsia="仿宋_GB2312"/>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0E7"/>
    <w:rsid w:val="0001313C"/>
    <w:rsid w:val="00015A58"/>
    <w:rsid w:val="0002189E"/>
    <w:rsid w:val="00030CC6"/>
    <w:rsid w:val="000348CD"/>
    <w:rsid w:val="0005398D"/>
    <w:rsid w:val="000627FC"/>
    <w:rsid w:val="000830D7"/>
    <w:rsid w:val="00084F89"/>
    <w:rsid w:val="0009376B"/>
    <w:rsid w:val="000D2A0F"/>
    <w:rsid w:val="000D5A6D"/>
    <w:rsid w:val="000E7FF8"/>
    <w:rsid w:val="000F4C3C"/>
    <w:rsid w:val="0010218F"/>
    <w:rsid w:val="00106E00"/>
    <w:rsid w:val="00115DB3"/>
    <w:rsid w:val="001202B5"/>
    <w:rsid w:val="00121BD0"/>
    <w:rsid w:val="00122FB1"/>
    <w:rsid w:val="00140532"/>
    <w:rsid w:val="00142029"/>
    <w:rsid w:val="00152BC0"/>
    <w:rsid w:val="00161B83"/>
    <w:rsid w:val="0016517C"/>
    <w:rsid w:val="00180F4E"/>
    <w:rsid w:val="001B5776"/>
    <w:rsid w:val="001B75E2"/>
    <w:rsid w:val="001B7C95"/>
    <w:rsid w:val="001D5085"/>
    <w:rsid w:val="001E2A3D"/>
    <w:rsid w:val="001F06D3"/>
    <w:rsid w:val="001F135F"/>
    <w:rsid w:val="001F6A2E"/>
    <w:rsid w:val="00206510"/>
    <w:rsid w:val="0021349E"/>
    <w:rsid w:val="0023773E"/>
    <w:rsid w:val="0025086F"/>
    <w:rsid w:val="002628EB"/>
    <w:rsid w:val="00265026"/>
    <w:rsid w:val="00266920"/>
    <w:rsid w:val="00266E63"/>
    <w:rsid w:val="0027246C"/>
    <w:rsid w:val="002810FC"/>
    <w:rsid w:val="002877BE"/>
    <w:rsid w:val="002A059E"/>
    <w:rsid w:val="002A07E1"/>
    <w:rsid w:val="002A694E"/>
    <w:rsid w:val="002C1032"/>
    <w:rsid w:val="002C22D6"/>
    <w:rsid w:val="002C7EC8"/>
    <w:rsid w:val="002D1F32"/>
    <w:rsid w:val="002E5156"/>
    <w:rsid w:val="00315023"/>
    <w:rsid w:val="003179C6"/>
    <w:rsid w:val="003217CA"/>
    <w:rsid w:val="00326827"/>
    <w:rsid w:val="00334A78"/>
    <w:rsid w:val="00340958"/>
    <w:rsid w:val="003542EE"/>
    <w:rsid w:val="00354344"/>
    <w:rsid w:val="00361586"/>
    <w:rsid w:val="00377DEE"/>
    <w:rsid w:val="003A0FC8"/>
    <w:rsid w:val="003C0B8B"/>
    <w:rsid w:val="003C41BC"/>
    <w:rsid w:val="003D6829"/>
    <w:rsid w:val="003E38BB"/>
    <w:rsid w:val="00417D81"/>
    <w:rsid w:val="00423B07"/>
    <w:rsid w:val="00431492"/>
    <w:rsid w:val="004453A5"/>
    <w:rsid w:val="00450C97"/>
    <w:rsid w:val="00475D2C"/>
    <w:rsid w:val="0047602F"/>
    <w:rsid w:val="00491C04"/>
    <w:rsid w:val="004A19B5"/>
    <w:rsid w:val="004A3F21"/>
    <w:rsid w:val="004A4AE0"/>
    <w:rsid w:val="004A5507"/>
    <w:rsid w:val="004C53E3"/>
    <w:rsid w:val="004C6E16"/>
    <w:rsid w:val="004D061C"/>
    <w:rsid w:val="004D2970"/>
    <w:rsid w:val="004E23F1"/>
    <w:rsid w:val="004F15D5"/>
    <w:rsid w:val="0053176D"/>
    <w:rsid w:val="005338D8"/>
    <w:rsid w:val="005371D1"/>
    <w:rsid w:val="00561607"/>
    <w:rsid w:val="005725CF"/>
    <w:rsid w:val="005931B7"/>
    <w:rsid w:val="005A110F"/>
    <w:rsid w:val="005B0DCB"/>
    <w:rsid w:val="005B3F78"/>
    <w:rsid w:val="005B43B1"/>
    <w:rsid w:val="005B6925"/>
    <w:rsid w:val="005C2F26"/>
    <w:rsid w:val="005D52C3"/>
    <w:rsid w:val="005E0612"/>
    <w:rsid w:val="005E2CF7"/>
    <w:rsid w:val="005E5F09"/>
    <w:rsid w:val="005F7CEE"/>
    <w:rsid w:val="0061567E"/>
    <w:rsid w:val="00626537"/>
    <w:rsid w:val="00637792"/>
    <w:rsid w:val="00654AE5"/>
    <w:rsid w:val="006715EA"/>
    <w:rsid w:val="00680E7E"/>
    <w:rsid w:val="00683DBA"/>
    <w:rsid w:val="006A2DBE"/>
    <w:rsid w:val="006B1EB7"/>
    <w:rsid w:val="006B70E3"/>
    <w:rsid w:val="006B78DA"/>
    <w:rsid w:val="006C27C7"/>
    <w:rsid w:val="006C7888"/>
    <w:rsid w:val="006D009B"/>
    <w:rsid w:val="006D1177"/>
    <w:rsid w:val="00706F89"/>
    <w:rsid w:val="00710AF2"/>
    <w:rsid w:val="00715EFF"/>
    <w:rsid w:val="00722FAB"/>
    <w:rsid w:val="007535E0"/>
    <w:rsid w:val="00773F3F"/>
    <w:rsid w:val="0077786E"/>
    <w:rsid w:val="00783117"/>
    <w:rsid w:val="00783922"/>
    <w:rsid w:val="00792F0D"/>
    <w:rsid w:val="0079627D"/>
    <w:rsid w:val="007C60F4"/>
    <w:rsid w:val="007D7B39"/>
    <w:rsid w:val="007E1167"/>
    <w:rsid w:val="007E6A2D"/>
    <w:rsid w:val="007F03EF"/>
    <w:rsid w:val="007F3BB3"/>
    <w:rsid w:val="007F79BF"/>
    <w:rsid w:val="00832DCE"/>
    <w:rsid w:val="008507FB"/>
    <w:rsid w:val="00850EA6"/>
    <w:rsid w:val="00854944"/>
    <w:rsid w:val="00860A1B"/>
    <w:rsid w:val="00881A86"/>
    <w:rsid w:val="00895020"/>
    <w:rsid w:val="008979CC"/>
    <w:rsid w:val="008B3615"/>
    <w:rsid w:val="008D02E8"/>
    <w:rsid w:val="008D0339"/>
    <w:rsid w:val="008D33B0"/>
    <w:rsid w:val="008E342C"/>
    <w:rsid w:val="008E4444"/>
    <w:rsid w:val="008F46A2"/>
    <w:rsid w:val="008F5888"/>
    <w:rsid w:val="009008FC"/>
    <w:rsid w:val="00900F9D"/>
    <w:rsid w:val="00904B21"/>
    <w:rsid w:val="009078C7"/>
    <w:rsid w:val="00916CA6"/>
    <w:rsid w:val="00922FFA"/>
    <w:rsid w:val="00944092"/>
    <w:rsid w:val="009614C6"/>
    <w:rsid w:val="009620AF"/>
    <w:rsid w:val="00966ACC"/>
    <w:rsid w:val="0097071F"/>
    <w:rsid w:val="0098384D"/>
    <w:rsid w:val="009A1C35"/>
    <w:rsid w:val="009C4913"/>
    <w:rsid w:val="009C6A79"/>
    <w:rsid w:val="009D3A85"/>
    <w:rsid w:val="00A10259"/>
    <w:rsid w:val="00A165D3"/>
    <w:rsid w:val="00A22AB1"/>
    <w:rsid w:val="00A34045"/>
    <w:rsid w:val="00A6440B"/>
    <w:rsid w:val="00A74F8C"/>
    <w:rsid w:val="00A76E3F"/>
    <w:rsid w:val="00A85F73"/>
    <w:rsid w:val="00A871A8"/>
    <w:rsid w:val="00A9039F"/>
    <w:rsid w:val="00AD69CF"/>
    <w:rsid w:val="00AD756C"/>
    <w:rsid w:val="00AF332F"/>
    <w:rsid w:val="00B00B57"/>
    <w:rsid w:val="00B115B7"/>
    <w:rsid w:val="00B12672"/>
    <w:rsid w:val="00B22C75"/>
    <w:rsid w:val="00B22DE0"/>
    <w:rsid w:val="00B32F9A"/>
    <w:rsid w:val="00B355FA"/>
    <w:rsid w:val="00B6060E"/>
    <w:rsid w:val="00B63BBA"/>
    <w:rsid w:val="00B97794"/>
    <w:rsid w:val="00BB4A6F"/>
    <w:rsid w:val="00BB54AB"/>
    <w:rsid w:val="00BB778C"/>
    <w:rsid w:val="00BC46BE"/>
    <w:rsid w:val="00BE232C"/>
    <w:rsid w:val="00BE6166"/>
    <w:rsid w:val="00BE7435"/>
    <w:rsid w:val="00C024AA"/>
    <w:rsid w:val="00C144AB"/>
    <w:rsid w:val="00C268EB"/>
    <w:rsid w:val="00C40815"/>
    <w:rsid w:val="00C5417B"/>
    <w:rsid w:val="00C54BF7"/>
    <w:rsid w:val="00C839CE"/>
    <w:rsid w:val="00C91355"/>
    <w:rsid w:val="00C93E0B"/>
    <w:rsid w:val="00CA0F1D"/>
    <w:rsid w:val="00CA2860"/>
    <w:rsid w:val="00CB09F8"/>
    <w:rsid w:val="00CB194A"/>
    <w:rsid w:val="00CB28EC"/>
    <w:rsid w:val="00CB72D1"/>
    <w:rsid w:val="00CB7AA0"/>
    <w:rsid w:val="00CC065F"/>
    <w:rsid w:val="00CD533F"/>
    <w:rsid w:val="00CE46DB"/>
    <w:rsid w:val="00CE4A32"/>
    <w:rsid w:val="00CF1A43"/>
    <w:rsid w:val="00D017A0"/>
    <w:rsid w:val="00D05125"/>
    <w:rsid w:val="00D10856"/>
    <w:rsid w:val="00D11A7B"/>
    <w:rsid w:val="00D16094"/>
    <w:rsid w:val="00D21A76"/>
    <w:rsid w:val="00D30CF3"/>
    <w:rsid w:val="00D401F8"/>
    <w:rsid w:val="00D605B4"/>
    <w:rsid w:val="00D64F6E"/>
    <w:rsid w:val="00D757BB"/>
    <w:rsid w:val="00D75C7B"/>
    <w:rsid w:val="00D81339"/>
    <w:rsid w:val="00D86B35"/>
    <w:rsid w:val="00D91FBD"/>
    <w:rsid w:val="00D93533"/>
    <w:rsid w:val="00DB7DD0"/>
    <w:rsid w:val="00DC2DC9"/>
    <w:rsid w:val="00DD0869"/>
    <w:rsid w:val="00DE0E33"/>
    <w:rsid w:val="00DE7C24"/>
    <w:rsid w:val="00DF30E7"/>
    <w:rsid w:val="00DF34A7"/>
    <w:rsid w:val="00E0701C"/>
    <w:rsid w:val="00E1226B"/>
    <w:rsid w:val="00E2428F"/>
    <w:rsid w:val="00E25A90"/>
    <w:rsid w:val="00E30C59"/>
    <w:rsid w:val="00E3244D"/>
    <w:rsid w:val="00E357B7"/>
    <w:rsid w:val="00E43A12"/>
    <w:rsid w:val="00E56B2B"/>
    <w:rsid w:val="00E67C1F"/>
    <w:rsid w:val="00E828F3"/>
    <w:rsid w:val="00E92F30"/>
    <w:rsid w:val="00E952DF"/>
    <w:rsid w:val="00EA7A7F"/>
    <w:rsid w:val="00EB0F28"/>
    <w:rsid w:val="00EC630C"/>
    <w:rsid w:val="00EE0DD1"/>
    <w:rsid w:val="00EE5A52"/>
    <w:rsid w:val="00EF1077"/>
    <w:rsid w:val="00EF65AD"/>
    <w:rsid w:val="00F1241E"/>
    <w:rsid w:val="00F15E8A"/>
    <w:rsid w:val="00F17388"/>
    <w:rsid w:val="00F221E8"/>
    <w:rsid w:val="00F2649D"/>
    <w:rsid w:val="00F26C0C"/>
    <w:rsid w:val="00F338DE"/>
    <w:rsid w:val="00F4286A"/>
    <w:rsid w:val="00F455B6"/>
    <w:rsid w:val="00F53C3A"/>
    <w:rsid w:val="00F70F4F"/>
    <w:rsid w:val="00F81A98"/>
    <w:rsid w:val="00F875CB"/>
    <w:rsid w:val="00F9066B"/>
    <w:rsid w:val="00FA0C04"/>
    <w:rsid w:val="00FA5D9C"/>
    <w:rsid w:val="00FA624F"/>
    <w:rsid w:val="00FA7553"/>
    <w:rsid w:val="00FB2C63"/>
    <w:rsid w:val="00FF2E70"/>
    <w:rsid w:val="03655505"/>
    <w:rsid w:val="5A094A3D"/>
    <w:rsid w:val="5D6D3C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Document Map"/>
    <w:basedOn w:val="1"/>
    <w:link w:val="19"/>
    <w:semiHidden/>
    <w:unhideWhenUsed/>
    <w:qFormat/>
    <w:uiPriority w:val="99"/>
    <w:rPr>
      <w:rFonts w:ascii="宋体"/>
      <w:sz w:val="18"/>
      <w:szCs w:val="18"/>
    </w:rPr>
  </w:style>
  <w:style w:type="paragraph" w:styleId="3">
    <w:name w:val="annotation text"/>
    <w:basedOn w:val="1"/>
    <w:link w:val="16"/>
    <w:qFormat/>
    <w:uiPriority w:val="0"/>
    <w:pPr>
      <w:jc w:val="left"/>
    </w:pPr>
    <w:rPr>
      <w:rFonts w:cs="Times New Roman"/>
    </w:rPr>
  </w:style>
  <w:style w:type="paragraph" w:styleId="4">
    <w:name w:val="Balloon Text"/>
    <w:basedOn w:val="1"/>
    <w:link w:val="18"/>
    <w:qFormat/>
    <w:uiPriority w:val="0"/>
    <w:rPr>
      <w:rFonts w:cs="Times New Roman"/>
      <w:sz w:val="18"/>
      <w:szCs w:val="18"/>
    </w:rPr>
  </w:style>
  <w:style w:type="paragraph" w:styleId="5">
    <w:name w:val="footer"/>
    <w:basedOn w:val="1"/>
    <w:link w:val="15"/>
    <w:uiPriority w:val="0"/>
    <w:pPr>
      <w:tabs>
        <w:tab w:val="center" w:pos="4153"/>
        <w:tab w:val="right" w:pos="8306"/>
      </w:tabs>
      <w:snapToGrid w:val="0"/>
      <w:jc w:val="left"/>
    </w:pPr>
    <w:rPr>
      <w:rFonts w:cs="Times New Roman"/>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rFonts w:cs="Times New Roman"/>
      <w:sz w:val="18"/>
      <w:szCs w:val="18"/>
    </w:rPr>
  </w:style>
  <w:style w:type="paragraph" w:styleId="7">
    <w:name w:val="Title"/>
    <w:basedOn w:val="1"/>
    <w:next w:val="1"/>
    <w:link w:val="13"/>
    <w:uiPriority w:val="0"/>
    <w:pPr>
      <w:spacing w:before="120" w:after="60" w:line="360" w:lineRule="auto"/>
      <w:jc w:val="center"/>
      <w:outlineLvl w:val="0"/>
    </w:pPr>
    <w:rPr>
      <w:rFonts w:ascii="Cambria" w:hAnsi="Cambria" w:eastAsia="华文中宋" w:cs="Times New Roman"/>
      <w:b/>
      <w:bCs/>
      <w:kern w:val="0"/>
      <w:sz w:val="30"/>
      <w:szCs w:val="32"/>
    </w:rPr>
  </w:style>
  <w:style w:type="paragraph" w:styleId="8">
    <w:name w:val="annotation subject"/>
    <w:basedOn w:val="3"/>
    <w:next w:val="3"/>
    <w:link w:val="17"/>
    <w:uiPriority w:val="0"/>
    <w:rPr>
      <w:b/>
      <w:bCs/>
    </w:rPr>
  </w:style>
  <w:style w:type="character" w:styleId="11">
    <w:name w:val="Hyperlink"/>
    <w:uiPriority w:val="0"/>
    <w:rPr>
      <w:color w:val="136EC2"/>
      <w:u w:val="single"/>
    </w:rPr>
  </w:style>
  <w:style w:type="character" w:styleId="12">
    <w:name w:val="annotation reference"/>
    <w:uiPriority w:val="0"/>
    <w:rPr>
      <w:sz w:val="21"/>
      <w:szCs w:val="21"/>
    </w:rPr>
  </w:style>
  <w:style w:type="character" w:customStyle="1" w:styleId="13">
    <w:name w:val="标题 字符"/>
    <w:link w:val="7"/>
    <w:semiHidden/>
    <w:uiPriority w:val="0"/>
    <w:rPr>
      <w:rFonts w:ascii="Cambria" w:hAnsi="Cambria" w:eastAsia="华文中宋" w:cs="Times New Roman"/>
      <w:b/>
      <w:bCs/>
      <w:sz w:val="30"/>
      <w:szCs w:val="32"/>
    </w:rPr>
  </w:style>
  <w:style w:type="character" w:customStyle="1" w:styleId="14">
    <w:name w:val="页眉 字符"/>
    <w:link w:val="6"/>
    <w:semiHidden/>
    <w:uiPriority w:val="0"/>
    <w:rPr>
      <w:kern w:val="2"/>
      <w:sz w:val="18"/>
      <w:szCs w:val="18"/>
    </w:rPr>
  </w:style>
  <w:style w:type="character" w:customStyle="1" w:styleId="15">
    <w:name w:val="页脚 字符"/>
    <w:link w:val="5"/>
    <w:semiHidden/>
    <w:uiPriority w:val="0"/>
    <w:rPr>
      <w:kern w:val="2"/>
      <w:sz w:val="18"/>
      <w:szCs w:val="18"/>
    </w:rPr>
  </w:style>
  <w:style w:type="character" w:customStyle="1" w:styleId="16">
    <w:name w:val="批注文字 字符"/>
    <w:link w:val="3"/>
    <w:semiHidden/>
    <w:uiPriority w:val="0"/>
    <w:rPr>
      <w:kern w:val="2"/>
      <w:sz w:val="21"/>
      <w:szCs w:val="22"/>
    </w:rPr>
  </w:style>
  <w:style w:type="character" w:customStyle="1" w:styleId="17">
    <w:name w:val="批注主题 字符"/>
    <w:link w:val="8"/>
    <w:semiHidden/>
    <w:uiPriority w:val="0"/>
    <w:rPr>
      <w:b/>
      <w:bCs/>
      <w:kern w:val="2"/>
      <w:sz w:val="21"/>
      <w:szCs w:val="22"/>
    </w:rPr>
  </w:style>
  <w:style w:type="character" w:customStyle="1" w:styleId="18">
    <w:name w:val="批注框文本 字符"/>
    <w:link w:val="4"/>
    <w:semiHidden/>
    <w:qFormat/>
    <w:uiPriority w:val="0"/>
    <w:rPr>
      <w:kern w:val="2"/>
      <w:sz w:val="18"/>
      <w:szCs w:val="18"/>
    </w:rPr>
  </w:style>
  <w:style w:type="character" w:customStyle="1" w:styleId="19">
    <w:name w:val="文档结构图 字符"/>
    <w:basedOn w:val="10"/>
    <w:link w:val="2"/>
    <w:semiHidden/>
    <w:qFormat/>
    <w:uiPriority w:val="99"/>
    <w:rPr>
      <w:rFonts w:ascii="宋体"/>
      <w:kern w:val="2"/>
      <w:sz w:val="18"/>
      <w:szCs w:val="18"/>
    </w:rPr>
  </w:style>
  <w:style w:type="character" w:customStyle="1" w:styleId="20">
    <w:name w:val="正文+ Char"/>
    <w:link w:val="21"/>
    <w:qFormat/>
    <w:locked/>
    <w:uiPriority w:val="0"/>
    <w:rPr>
      <w:rFonts w:ascii="宋体" w:hAnsi="宋体"/>
      <w:sz w:val="24"/>
      <w:szCs w:val="24"/>
    </w:rPr>
  </w:style>
  <w:style w:type="paragraph" w:customStyle="1" w:styleId="21">
    <w:name w:val="正文+"/>
    <w:basedOn w:val="1"/>
    <w:link w:val="20"/>
    <w:qFormat/>
    <w:uiPriority w:val="0"/>
    <w:pPr>
      <w:spacing w:line="360" w:lineRule="auto"/>
      <w:ind w:firstLine="480" w:firstLineChars="200"/>
    </w:pPr>
    <w:rPr>
      <w:rFonts w:ascii="宋体" w:hAnsi="宋体"/>
      <w:kern w:val="0"/>
      <w:sz w:val="24"/>
      <w:szCs w:val="24"/>
    </w:rPr>
  </w:style>
  <w:style w:type="paragraph" w:customStyle="1" w:styleId="22">
    <w:name w:val="Revision"/>
    <w:hidden/>
    <w:semiHidden/>
    <w:qFormat/>
    <w:uiPriority w:val="99"/>
    <w:rPr>
      <w:rFonts w:ascii="Calibri" w:hAnsi="Calibri" w:eastAsia="宋体" w:cs="Calibr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654773-2506-4033-AB5A-585B1B6A8D3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2425</Words>
  <Characters>2518</Characters>
  <Lines>18</Lines>
  <Paragraphs>5</Paragraphs>
  <TotalTime>728</TotalTime>
  <ScaleCrop>false</ScaleCrop>
  <LinksUpToDate>false</LinksUpToDate>
  <CharactersWithSpaces>2524</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2021-12-02T08:46:00Z</dcterms:created>
  <dc:creator>团委组织部</dc:creator>
  <cp:lastModifiedBy>T</cp:lastModifiedBy>
  <cp:lastPrinted>2021-12-06T14:47:00Z</cp:lastPrinted>
  <dcterms:modified xsi:type="dcterms:W3CDTF">2021-12-07T02:17:47Z</dcterms:modified>
  <dc:title>校团发〔2012〕38号</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F39F1F1C92FB4AEF939DDE1C5B41445F</vt:lpwstr>
  </property>
</Properties>
</file>