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360" w:lineRule="auto"/>
        <w:ind w:firstLine="0"/>
        <w:textAlignment w:val="baseline"/>
        <w:rPr>
          <w:rFonts w:hint="eastAsia" w:ascii="仿宋_GB2312" w:hAnsi="仿宋_GB2312" w:eastAsia="仿宋_GB2312" w:cs="仿宋_GB2312"/>
          <w:position w:val="-18"/>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0"/>
        <w:textAlignment w:val="baseline"/>
        <w:rPr>
          <w:rFonts w:hint="eastAsia" w:ascii="仿宋_GB2312" w:hAnsi="仿宋_GB2312" w:eastAsia="仿宋_GB2312" w:cs="仿宋_GB2312"/>
          <w:position w:val="-18"/>
          <w:sz w:val="28"/>
          <w:szCs w:val="28"/>
        </w:rPr>
      </w:pPr>
      <w:r>
        <w:rPr>
          <w:rFonts w:hint="eastAsia" w:ascii="仿宋_GB2312" w:hAnsi="仿宋_GB2312" w:cs="仿宋_GB2312"/>
          <w:szCs w:val="28"/>
        </w:rPr>
        <w:drawing>
          <wp:anchor distT="0" distB="0" distL="114300" distR="114300" simplePos="0" relativeHeight="251661312" behindDoc="0" locked="0" layoutInCell="1" allowOverlap="1">
            <wp:simplePos x="0" y="0"/>
            <wp:positionH relativeFrom="column">
              <wp:posOffset>635</wp:posOffset>
            </wp:positionH>
            <wp:positionV relativeFrom="paragraph">
              <wp:posOffset>-151765</wp:posOffset>
            </wp:positionV>
            <wp:extent cx="5759450" cy="575945"/>
            <wp:effectExtent l="0" t="0" r="12700" b="14605"/>
            <wp:wrapNone/>
            <wp:docPr id="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59450" cy="575945"/>
                    </a:xfrm>
                    <a:prstGeom prst="rect">
                      <a:avLst/>
                    </a:prstGeom>
                  </pic:spPr>
                </pic:pic>
              </a:graphicData>
            </a:graphic>
          </wp:anchor>
        </w:drawing>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0"/>
        <w:textAlignment w:val="baseline"/>
        <w:rPr>
          <w:rFonts w:hint="eastAsia" w:ascii="仿宋_GB2312" w:hAnsi="仿宋_GB2312" w:eastAsia="仿宋_GB2312" w:cs="仿宋_GB2312"/>
          <w:position w:val="-18"/>
          <w:sz w:val="28"/>
          <w:szCs w:val="28"/>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2"/>
          <w:sz w:val="28"/>
          <w:szCs w:val="28"/>
        </w:rPr>
        <w:t>校团通〔202</w:t>
      </w:r>
      <w:r>
        <w:rPr>
          <w:rFonts w:hint="eastAsia" w:ascii="仿宋_GB2312" w:hAnsi="仿宋_GB2312" w:eastAsia="仿宋_GB2312" w:cs="仿宋_GB2312"/>
          <w:spacing w:val="-2"/>
          <w:sz w:val="28"/>
          <w:szCs w:val="28"/>
          <w:lang w:eastAsia="zh-CN"/>
        </w:rPr>
        <w:t>4</w:t>
      </w:r>
      <w:r>
        <w:rPr>
          <w:rFonts w:hint="eastAsia" w:ascii="仿宋_GB2312" w:hAnsi="仿宋_GB2312" w:eastAsia="仿宋_GB2312" w:cs="仿宋_GB2312"/>
          <w:spacing w:val="-2"/>
          <w:sz w:val="28"/>
          <w:szCs w:val="28"/>
        </w:rPr>
        <w:t>〕</w:t>
      </w:r>
      <w:r>
        <w:rPr>
          <w:rFonts w:hint="eastAsia" w:ascii="仿宋_GB2312" w:hAnsi="仿宋_GB2312" w:eastAsia="仿宋_GB2312" w:cs="仿宋_GB2312"/>
          <w:spacing w:val="-2"/>
          <w:sz w:val="28"/>
          <w:szCs w:val="28"/>
          <w:lang w:val="en-US" w:eastAsia="zh-CN"/>
        </w:rPr>
        <w:t>16</w:t>
      </w:r>
      <w:r>
        <w:rPr>
          <w:rFonts w:hint="eastAsia" w:ascii="仿宋_GB2312" w:hAnsi="仿宋_GB2312" w:eastAsia="仿宋_GB2312" w:cs="仿宋_GB2312"/>
          <w:spacing w:val="-2"/>
          <w:sz w:val="28"/>
          <w:szCs w:val="28"/>
        </w:rPr>
        <w:t>号</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华文中宋" w:hAnsi="华文中宋" w:eastAsia="华文中宋" w:cs="华文中宋"/>
          <w:b/>
          <w:bCs/>
          <w:color w:val="222222"/>
          <w:kern w:val="0"/>
          <w:sz w:val="28"/>
          <w:szCs w:val="28"/>
        </w:rPr>
      </w:pPr>
      <w:r>
        <w:rPr>
          <w:position w:val="-2"/>
          <w:sz w:val="28"/>
          <w:szCs w:val="28"/>
        </w:rPr>
        <w:drawing>
          <wp:anchor distT="0" distB="0" distL="0" distR="0" simplePos="0" relativeHeight="251660288" behindDoc="1" locked="0" layoutInCell="1" allowOverlap="1">
            <wp:simplePos x="0" y="0"/>
            <wp:positionH relativeFrom="column">
              <wp:posOffset>0</wp:posOffset>
            </wp:positionH>
            <wp:positionV relativeFrom="paragraph">
              <wp:posOffset>107315</wp:posOffset>
            </wp:positionV>
            <wp:extent cx="5761990" cy="80645"/>
            <wp:effectExtent l="0" t="0" r="10160" b="14605"/>
            <wp:wrapNone/>
            <wp:docPr id="9" name="IM 4"/>
            <wp:cNvGraphicFramePr/>
            <a:graphic xmlns:a="http://schemas.openxmlformats.org/drawingml/2006/main">
              <a:graphicData uri="http://schemas.openxmlformats.org/drawingml/2006/picture">
                <pic:pic xmlns:pic="http://schemas.openxmlformats.org/drawingml/2006/picture">
                  <pic:nvPicPr>
                    <pic:cNvPr id="9" name="IM 4"/>
                    <pic:cNvPicPr/>
                  </pic:nvPicPr>
                  <pic:blipFill>
                    <a:blip r:embed="rId6"/>
                    <a:stretch>
                      <a:fillRect/>
                    </a:stretch>
                  </pic:blipFill>
                  <pic:spPr>
                    <a:xfrm>
                      <a:off x="0" y="0"/>
                      <a:ext cx="5762244" cy="80771"/>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360" w:lineRule="auto"/>
        <w:ind w:firstLine="641" w:firstLineChars="200"/>
        <w:jc w:val="center"/>
        <w:textAlignment w:val="auto"/>
        <w:rPr>
          <w:rFonts w:hint="eastAsia" w:ascii="华文中宋" w:hAnsi="华文中宋" w:eastAsia="华文中宋" w:cs="华文中宋"/>
          <w:b/>
          <w:bCs/>
          <w:color w:val="222222"/>
          <w:kern w:val="0"/>
          <w:sz w:val="32"/>
          <w:szCs w:val="32"/>
        </w:rPr>
      </w:pPr>
      <w:r>
        <w:rPr>
          <w:rFonts w:hint="eastAsia" w:ascii="华文中宋" w:hAnsi="华文中宋" w:eastAsia="华文中宋" w:cs="华文中宋"/>
          <w:b/>
          <w:bCs/>
          <w:color w:val="222222"/>
          <w:kern w:val="0"/>
          <w:sz w:val="32"/>
          <w:szCs w:val="32"/>
        </w:rPr>
        <w:t>关于“青创北京”2024年“挑战杯”首都大学生创业计划竞赛专项赛组织参赛的通知</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为深入学习领会习近平总书记关于“创新创业创造”的重要论述及给我校两封重要回信精神，贯彻落实“为党育人 为国育才”的工作职责，为首都创新创业高质量发展发掘培育青年后备人才，为首都“国际科技创新中心”建设贡献青春力量，深化学校“钢筋铁骨”育人模式，现组织学生参加“青创北京”2024年“挑战杯”首都大学生创业计划竞赛专项赛，具体通知如下。</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 w:val="0"/>
          <w:bCs w:val="0"/>
          <w:sz w:val="28"/>
          <w:szCs w:val="28"/>
        </w:rPr>
      </w:pPr>
      <w:r>
        <w:rPr>
          <w:rFonts w:hint="eastAsia" w:ascii="黑体" w:hAnsi="黑体" w:eastAsia="黑体"/>
          <w:b w:val="0"/>
          <w:bCs w:val="0"/>
          <w:sz w:val="28"/>
          <w:szCs w:val="28"/>
        </w:rPr>
        <w:t>一、赛道设置</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青创北京”2024年“挑战杯”首都大学生创业计划竞赛共有6个专项赛，其中4个“揭榜挂帅”专项赛，分别为：“青振京郊”乡村振兴赛道、“青协发展”京津冀区域协同发展赛道、“青智未来”新质生产力赛道、“青绘京彩”文旅创意赛道。“揭榜挂帅”专项赛采取“政企发榜、竞争揭榜、开榜签约”的方式，面向各级政府、企事业单位、行业协会等公开征集榜单，在最大范围内征集和优选学生创业团队，由团队根据榜单要求与出题单位具体情况，提出具有可行性的创业计划方案，从而为“出榜者”与“揭榜者”搭建沟通交流、双向选择的平台，架构起政企校产学研深度融合的桥梁。</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除“揭榜挂帅”专项赛外，还设置“青燃希望”新时代希望工程公益服务专项赛、“青系四海”国际交流交往专项赛。</w:t>
      </w:r>
    </w:p>
    <w:p>
      <w:pPr>
        <w:keepNext w:val="0"/>
        <w:keepLines w:val="0"/>
        <w:pageBreakBefore w:val="0"/>
        <w:widowControl w:val="0"/>
        <w:tabs>
          <w:tab w:val="left" w:pos="363"/>
        </w:tabs>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 w:val="0"/>
          <w:bCs w:val="0"/>
          <w:sz w:val="28"/>
          <w:szCs w:val="28"/>
        </w:rPr>
      </w:pPr>
      <w:r>
        <w:rPr>
          <w:rFonts w:hint="eastAsia" w:ascii="黑体" w:hAnsi="黑体" w:eastAsia="黑体"/>
          <w:b w:val="0"/>
          <w:bCs w:val="0"/>
          <w:sz w:val="28"/>
          <w:szCs w:val="28"/>
        </w:rPr>
        <w:t>二、赛道内容</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（一）“揭榜挂帅”专项赛（含4个专项赛）</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1.“青振京郊”乡村振兴专项赛。</w:t>
      </w:r>
      <w:r>
        <w:rPr>
          <w:rFonts w:hint="eastAsia" w:ascii="仿宋_GB2312" w:hAnsi="仿宋_GB2312" w:eastAsia="仿宋_GB2312" w:cs="仿宋_GB2312"/>
          <w:sz w:val="28"/>
          <w:szCs w:val="28"/>
        </w:rPr>
        <w:t>落实北京市委“百村示范、千村振兴”工程部署，为解决北京“三农”发展的实际问题，聚焦城乡统筹、融合发展，结合科技强农、绿色发展。具体需求榜单详见附件，共14个选题。</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2.“青协发展”京津冀区域协同发展专项赛。</w:t>
      </w:r>
      <w:r>
        <w:rPr>
          <w:rFonts w:hint="eastAsia" w:ascii="仿宋_GB2312" w:hAnsi="仿宋_GB2312" w:eastAsia="仿宋_GB2312" w:cs="仿宋_GB2312"/>
          <w:sz w:val="28"/>
          <w:szCs w:val="28"/>
        </w:rPr>
        <w:t>围绕京津冀智慧城市治理、一体化交通网络、生态环境建设、产业协同发展等重点领域，结合疏解北京非首都功能、推动基本公共服务共建共享等主题。具体需求榜单详见附件，共7个选题。</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3.“青智未来”新质生产力专项赛。</w:t>
      </w:r>
      <w:r>
        <w:rPr>
          <w:rFonts w:hint="eastAsia" w:ascii="仿宋_GB2312" w:hAnsi="仿宋_GB2312" w:eastAsia="仿宋_GB2312" w:cs="仿宋_GB2312"/>
          <w:sz w:val="28"/>
          <w:szCs w:val="28"/>
        </w:rPr>
        <w:t>围绕新能源、新材料、先进制造、人工智能等战略性新兴产业，面向我国经济高质量发展、民生改善等重点领域的迫切需要，聚焦解决“卡脖子”技术难题和推动“高精尖”产业发展。具体需求榜单详见附件，共12个选题。</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4.“青绘京彩”文旅创意专项赛。</w:t>
      </w:r>
      <w:r>
        <w:rPr>
          <w:rFonts w:hint="eastAsia" w:ascii="仿宋_GB2312" w:hAnsi="仿宋_GB2312" w:eastAsia="仿宋_GB2312" w:cs="仿宋_GB2312"/>
          <w:sz w:val="28"/>
          <w:szCs w:val="28"/>
        </w:rPr>
        <w:t>立足激发文化与旅游产业创新创造活力，推进文化自信自强，鼓励首都学子根据发榜单位提出的需求，深入挖掘文化、旅游资源与价值，运用现代设计理念和科技手段，设计开发文化创意类产品或针对旅游产业发展提出具有可行性的创业计划方案。具体需求榜单详见附件，共14个选题。</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222222"/>
          <w:kern w:val="0"/>
          <w:sz w:val="28"/>
          <w:szCs w:val="28"/>
        </w:rPr>
      </w:pPr>
      <w:r>
        <w:rPr>
          <w:rFonts w:hint="eastAsia" w:ascii="仿宋_GB2312" w:hAnsi="仿宋_GB2312" w:eastAsia="仿宋_GB2312" w:cs="仿宋_GB2312"/>
          <w:b/>
          <w:bCs/>
          <w:color w:val="222222"/>
          <w:kern w:val="0"/>
          <w:sz w:val="28"/>
          <w:szCs w:val="28"/>
        </w:rPr>
        <w:t>（二）“青燃希望”新时代希望工程公益服务专项赛。</w:t>
      </w:r>
      <w:r>
        <w:rPr>
          <w:rFonts w:hint="eastAsia" w:ascii="仿宋_GB2312" w:hAnsi="仿宋_GB2312" w:eastAsia="仿宋_GB2312" w:cs="仿宋_GB2312"/>
          <w:color w:val="222222"/>
          <w:kern w:val="0"/>
          <w:sz w:val="28"/>
          <w:szCs w:val="28"/>
        </w:rPr>
        <w:t>有5个选题方向，分别是：</w:t>
      </w:r>
      <w:r>
        <w:rPr>
          <w:rFonts w:hint="eastAsia" w:ascii="仿宋_GB2312" w:hAnsi="仿宋_GB2312" w:eastAsia="仿宋_GB2312" w:cs="仿宋_GB2312"/>
          <w:b/>
          <w:bCs/>
          <w:color w:val="222222"/>
          <w:kern w:val="0"/>
          <w:sz w:val="28"/>
          <w:szCs w:val="28"/>
        </w:rPr>
        <w:t>①新时代希望工程五大计划，</w:t>
      </w:r>
      <w:r>
        <w:rPr>
          <w:rFonts w:hint="eastAsia" w:ascii="仿宋_GB2312" w:hAnsi="仿宋_GB2312" w:eastAsia="仿宋_GB2312" w:cs="仿宋_GB2312"/>
          <w:color w:val="222222"/>
          <w:kern w:val="0"/>
          <w:sz w:val="28"/>
          <w:szCs w:val="28"/>
        </w:rPr>
        <w:t>以提升新时代希望工程“助学兴教、素质提升、健康守护、紧急救助、铸魂育人”五大计划项目化、产品化、品牌化为目标，进行公益项目创意设计；</w:t>
      </w:r>
      <w:r>
        <w:rPr>
          <w:rFonts w:hint="eastAsia" w:ascii="仿宋_GB2312" w:hAnsi="仿宋_GB2312" w:eastAsia="仿宋_GB2312" w:cs="仿宋_GB2312"/>
          <w:b/>
          <w:bCs/>
          <w:color w:val="222222"/>
          <w:kern w:val="0"/>
          <w:sz w:val="28"/>
          <w:szCs w:val="28"/>
        </w:rPr>
        <w:t>②科技创新教育，</w:t>
      </w:r>
      <w:r>
        <w:rPr>
          <w:rFonts w:hint="eastAsia" w:ascii="仿宋_GB2312" w:hAnsi="仿宋_GB2312" w:eastAsia="仿宋_GB2312" w:cs="仿宋_GB2312"/>
          <w:color w:val="222222"/>
          <w:kern w:val="0"/>
          <w:sz w:val="28"/>
          <w:szCs w:val="28"/>
        </w:rPr>
        <w:t>聚焦青少年科技素养和创新意识培养，进行公益项目创意设计；</w:t>
      </w:r>
      <w:r>
        <w:rPr>
          <w:rFonts w:hint="eastAsia" w:ascii="仿宋_GB2312" w:hAnsi="仿宋_GB2312" w:eastAsia="仿宋_GB2312" w:cs="仿宋_GB2312"/>
          <w:b/>
          <w:bCs/>
          <w:color w:val="222222"/>
          <w:kern w:val="0"/>
          <w:sz w:val="28"/>
          <w:szCs w:val="28"/>
        </w:rPr>
        <w:t>③绿色生态环保，</w:t>
      </w:r>
      <w:r>
        <w:rPr>
          <w:rFonts w:hint="eastAsia" w:ascii="仿宋_GB2312" w:hAnsi="仿宋_GB2312" w:eastAsia="仿宋_GB2312" w:cs="仿宋_GB2312"/>
          <w:color w:val="222222"/>
          <w:kern w:val="0"/>
          <w:sz w:val="28"/>
          <w:szCs w:val="28"/>
        </w:rPr>
        <w:t>聚焦绿色可持续高质量发展和加强青少年生态环保教育，进行公益项目创意设计。</w:t>
      </w:r>
      <w:r>
        <w:rPr>
          <w:rFonts w:hint="eastAsia" w:ascii="仿宋_GB2312" w:hAnsi="仿宋_GB2312" w:eastAsia="仿宋_GB2312" w:cs="仿宋_GB2312"/>
          <w:b/>
          <w:bCs/>
          <w:color w:val="222222"/>
          <w:kern w:val="0"/>
          <w:sz w:val="28"/>
          <w:szCs w:val="28"/>
        </w:rPr>
        <w:t>④乡村青少年成长服务，</w:t>
      </w:r>
      <w:r>
        <w:rPr>
          <w:rFonts w:hint="eastAsia" w:ascii="仿宋_GB2312" w:hAnsi="仿宋_GB2312" w:eastAsia="仿宋_GB2312" w:cs="仿宋_GB2312"/>
          <w:color w:val="222222"/>
          <w:kern w:val="0"/>
          <w:sz w:val="28"/>
          <w:szCs w:val="28"/>
        </w:rPr>
        <w:t>聚焦乡村青少年活动综合阵地建设和青少年成长服务，进行公益项目创意设计；</w:t>
      </w:r>
      <w:r>
        <w:rPr>
          <w:rFonts w:hint="eastAsia" w:ascii="仿宋_GB2312" w:hAnsi="仿宋_GB2312" w:eastAsia="仿宋_GB2312" w:cs="仿宋_GB2312"/>
          <w:b/>
          <w:bCs/>
          <w:color w:val="222222"/>
          <w:kern w:val="0"/>
          <w:sz w:val="28"/>
          <w:szCs w:val="28"/>
        </w:rPr>
        <w:t>⑤青少年交流交往，</w:t>
      </w:r>
      <w:r>
        <w:rPr>
          <w:rFonts w:hint="eastAsia" w:ascii="仿宋_GB2312" w:hAnsi="仿宋_GB2312" w:eastAsia="仿宋_GB2312" w:cs="仿宋_GB2312"/>
          <w:color w:val="222222"/>
          <w:kern w:val="0"/>
          <w:sz w:val="28"/>
          <w:szCs w:val="28"/>
        </w:rPr>
        <w:t>围绕促进各民族青少年团结、港澳台青少年交流、“一带一路”沿线国家地区青少年交流，进行公益项目创意设计。</w:t>
      </w:r>
      <w:r>
        <w:rPr>
          <w:rFonts w:hint="eastAsia" w:ascii="仿宋_GB2312" w:hAnsi="仿宋_GB2312" w:eastAsia="仿宋_GB2312" w:cs="仿宋_GB2312"/>
          <w:b/>
          <w:bCs/>
          <w:color w:val="222222"/>
          <w:kern w:val="0"/>
          <w:sz w:val="28"/>
          <w:szCs w:val="28"/>
        </w:rPr>
        <w:t>本赛道每人或每队限报1件作品，且该作品不得同步参加主赛道和其他专项赛道。</w:t>
      </w:r>
      <w:r>
        <w:rPr>
          <w:rFonts w:hint="eastAsia" w:ascii="仿宋_GB2312" w:hAnsi="仿宋_GB2312" w:eastAsia="仿宋_GB2312" w:cs="仿宋_GB2312"/>
          <w:color w:val="222222"/>
          <w:kern w:val="0"/>
          <w:sz w:val="28"/>
          <w:szCs w:val="28"/>
        </w:rPr>
        <w:t>赛道具体要求见附件。</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b/>
          <w:bCs/>
          <w:color w:val="222222"/>
          <w:kern w:val="0"/>
          <w:sz w:val="28"/>
          <w:szCs w:val="28"/>
        </w:rPr>
        <w:t>（三）“青系四海”国际交流交往专项赛。</w:t>
      </w:r>
      <w:r>
        <w:rPr>
          <w:rFonts w:hint="eastAsia" w:ascii="仿宋_GB2312" w:hAnsi="仿宋_GB2312" w:eastAsia="仿宋_GB2312" w:cs="仿宋_GB2312"/>
          <w:color w:val="222222"/>
          <w:kern w:val="0"/>
          <w:sz w:val="28"/>
          <w:szCs w:val="28"/>
        </w:rPr>
        <w:t>有4个选题方向，分别是：</w:t>
      </w:r>
      <w:r>
        <w:rPr>
          <w:rFonts w:hint="eastAsia" w:ascii="仿宋_GB2312" w:hAnsi="仿宋_GB2312" w:eastAsia="仿宋_GB2312" w:cs="仿宋_GB2312"/>
          <w:b/>
          <w:bCs/>
          <w:color w:val="222222"/>
          <w:kern w:val="0"/>
          <w:sz w:val="28"/>
          <w:szCs w:val="28"/>
        </w:rPr>
        <w:t>①聚焦首都高质量发展，</w:t>
      </w:r>
      <w:r>
        <w:rPr>
          <w:rFonts w:hint="eastAsia" w:ascii="仿宋_GB2312" w:hAnsi="仿宋_GB2312" w:eastAsia="仿宋_GB2312" w:cs="仿宋_GB2312"/>
          <w:color w:val="222222"/>
          <w:kern w:val="0"/>
          <w:sz w:val="28"/>
          <w:szCs w:val="28"/>
        </w:rPr>
        <w:t>以留学生的视角和专业背景为北京市的城市发展、社会治理和民生建设等提出具有创新性的商业项目，为城市地标建设和超大型城市治理贡献青年思路；</w:t>
      </w:r>
      <w:r>
        <w:rPr>
          <w:rFonts w:hint="eastAsia" w:ascii="仿宋_GB2312" w:hAnsi="仿宋_GB2312" w:eastAsia="仿宋_GB2312" w:cs="仿宋_GB2312"/>
          <w:b/>
          <w:bCs/>
          <w:color w:val="222222"/>
          <w:kern w:val="0"/>
          <w:sz w:val="28"/>
          <w:szCs w:val="28"/>
        </w:rPr>
        <w:t>②聚焦国际经贸共建，</w:t>
      </w:r>
      <w:r>
        <w:rPr>
          <w:rFonts w:hint="eastAsia" w:ascii="仿宋_GB2312" w:hAnsi="仿宋_GB2312" w:eastAsia="仿宋_GB2312" w:cs="仿宋_GB2312"/>
          <w:color w:val="222222"/>
          <w:kern w:val="0"/>
          <w:sz w:val="28"/>
          <w:szCs w:val="28"/>
        </w:rPr>
        <w:t>鼓励青年学生积极发挥中外交流的主体作用，从共建“一带一路”、加强区域合作发展等角度出发，提出以中外交流、商业贸易、协同发展等为基本内容的商业项目；</w:t>
      </w:r>
      <w:r>
        <w:rPr>
          <w:rFonts w:hint="eastAsia" w:ascii="仿宋_GB2312" w:hAnsi="仿宋_GB2312" w:eastAsia="仿宋_GB2312" w:cs="仿宋_GB2312"/>
          <w:b/>
          <w:bCs/>
          <w:color w:val="222222"/>
          <w:kern w:val="0"/>
          <w:sz w:val="28"/>
          <w:szCs w:val="28"/>
        </w:rPr>
        <w:t>③聚焦中外文化共鉴，</w:t>
      </w:r>
      <w:r>
        <w:rPr>
          <w:rFonts w:hint="eastAsia" w:ascii="仿宋_GB2312" w:hAnsi="仿宋_GB2312" w:eastAsia="仿宋_GB2312" w:cs="仿宋_GB2312"/>
          <w:color w:val="222222"/>
          <w:kern w:val="0"/>
          <w:sz w:val="28"/>
          <w:szCs w:val="28"/>
        </w:rPr>
        <w:t>鼓励青年学生以加强中外文化交流和文化理解、促进各国青年感受中华文化之美、营造文化交流共鉴氛围为目的，开发具有较强创新性和广泛吸引力的商业项目；</w:t>
      </w:r>
      <w:r>
        <w:rPr>
          <w:rFonts w:hint="eastAsia" w:ascii="仿宋_GB2312" w:hAnsi="仿宋_GB2312" w:eastAsia="仿宋_GB2312" w:cs="仿宋_GB2312"/>
          <w:b/>
          <w:bCs/>
          <w:color w:val="222222"/>
          <w:kern w:val="0"/>
          <w:sz w:val="28"/>
          <w:szCs w:val="28"/>
        </w:rPr>
        <w:t>④聚焦青年交流交往，</w:t>
      </w:r>
      <w:r>
        <w:rPr>
          <w:rFonts w:hint="eastAsia" w:ascii="仿宋_GB2312" w:hAnsi="仿宋_GB2312" w:eastAsia="仿宋_GB2312" w:cs="仿宋_GB2312"/>
          <w:color w:val="222222"/>
          <w:kern w:val="0"/>
          <w:sz w:val="28"/>
          <w:szCs w:val="28"/>
        </w:rPr>
        <w:t>鼓励青年学生积极发挥在中外交往中的促进作用，开发帮助中外青年在互学互鉴中增进了解、收获友谊、共同成长，以及为推动构建人类命运共同体与促进世界和平发展贡献力量的商业项目。赛道具体要求可以查阅附件。</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 w:val="0"/>
          <w:bCs w:val="0"/>
          <w:sz w:val="28"/>
          <w:szCs w:val="28"/>
        </w:rPr>
      </w:pPr>
      <w:r>
        <w:rPr>
          <w:rFonts w:hint="eastAsia" w:ascii="黑体" w:hAnsi="黑体" w:eastAsia="黑体"/>
          <w:b w:val="0"/>
          <w:bCs w:val="0"/>
          <w:sz w:val="28"/>
          <w:szCs w:val="28"/>
        </w:rPr>
        <w:t>三、参赛对象</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color w:val="222222"/>
          <w:kern w:val="0"/>
          <w:sz w:val="28"/>
          <w:szCs w:val="28"/>
        </w:rPr>
        <w:t>2024年6月1日以前正式注册的全日制非成人教育的各类普通高等学校在校专科生、本科生、硕士研究生（不含在职研究生）可参加。硕博连读生、直接攻读博士生前两年可以按硕士研究生学历申报作品；本硕博连读生，按照四年、二年分别对应本、硕申报。博士研究生仅可作为项目团队成员参赛（不作项目负责人）、且人数不超过团队成员数量的30%。</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color w:val="222222"/>
          <w:kern w:val="0"/>
          <w:sz w:val="28"/>
          <w:szCs w:val="28"/>
        </w:rPr>
        <w:t>参赛对象以个人或团队形式参赛均可，每个团队不超过10人，指导教师不超过3名，可以跨专业、跨校、跨地域组队，各成员须事先协商明确项目的申报单位（每件作品仅由1所高校推报）。</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 w:val="0"/>
          <w:bCs w:val="0"/>
          <w:sz w:val="28"/>
          <w:szCs w:val="28"/>
        </w:rPr>
      </w:pPr>
      <w:r>
        <w:rPr>
          <w:rFonts w:hint="eastAsia" w:ascii="黑体" w:hAnsi="黑体" w:eastAsia="黑体"/>
          <w:b w:val="0"/>
          <w:bCs w:val="0"/>
          <w:sz w:val="28"/>
          <w:szCs w:val="28"/>
        </w:rPr>
        <w:t>四、参赛材料要求和报名网站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color w:val="222222"/>
          <w:kern w:val="0"/>
          <w:sz w:val="28"/>
          <w:szCs w:val="28"/>
        </w:rPr>
        <w:t>各赛道具体参赛材料见附件。所有作品必须做好匿名处理工作，保证作品和附加材料中不能出现如作者姓名、指导教师姓名、所在学校名称及相关标志性景色、logo等信息。网站填写成员信息时不需要匿名，如实填写即可。网站填写的成员信息顺序即为证书成员顺序。</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color w:val="222222"/>
          <w:kern w:val="0"/>
          <w:sz w:val="28"/>
          <w:szCs w:val="28"/>
        </w:rPr>
        <w:t>“揭榜挂帅”专项赛的报名网站为bj.tiaozhanbei.net，选择相应的竞赛进行报名，网站目前处于测试阶段，4月份将正式开放报名。“青燃希望”新时代希望工程公益服务专项赛、“青系四海”国际交流交往专项赛须先参加校内遴选，报名网站为</w:t>
      </w:r>
      <w:r>
        <w:rPr>
          <w:rFonts w:hint="eastAsia" w:ascii="仿宋_GB2312" w:hAnsi="仿宋_GB2312" w:eastAsia="仿宋_GB2312" w:cs="仿宋_GB2312"/>
          <w:sz w:val="28"/>
          <w:szCs w:val="28"/>
        </w:rPr>
        <w:t>yaolanbei.tiaozhanbei.net，比赛入口将于4月上旬上线。</w:t>
      </w:r>
      <w:r>
        <w:rPr>
          <w:rFonts w:hint="eastAsia" w:ascii="仿宋_GB2312" w:hAnsi="仿宋_GB2312" w:eastAsia="仿宋_GB2312" w:cs="仿宋_GB2312"/>
          <w:b/>
          <w:bCs/>
          <w:sz w:val="28"/>
          <w:szCs w:val="28"/>
        </w:rPr>
        <w:t>请有意向参赛的同学务必进入竞赛信息通知群，便于知晓后续事宜。</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 w:val="0"/>
          <w:bCs w:val="0"/>
          <w:sz w:val="28"/>
          <w:szCs w:val="28"/>
        </w:rPr>
      </w:pPr>
      <w:r>
        <w:rPr>
          <w:rFonts w:hint="eastAsia" w:ascii="黑体" w:hAnsi="黑体" w:eastAsia="黑体"/>
          <w:b w:val="0"/>
          <w:bCs w:val="0"/>
          <w:sz w:val="28"/>
          <w:szCs w:val="28"/>
        </w:rPr>
        <w:t>五、赛事进度安排</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（一）“揭榜挂帅”专项赛（含4个专项赛）。</w:t>
      </w:r>
      <w:r>
        <w:rPr>
          <w:rFonts w:hint="eastAsia" w:ascii="仿宋_GB2312" w:hAnsi="仿宋_GB2312" w:eastAsia="仿宋_GB2312" w:cs="仿宋_GB2312"/>
          <w:sz w:val="28"/>
          <w:szCs w:val="28"/>
        </w:rPr>
        <w:t>参赛团队根据榜单内容，联系发榜单位了解具体需求，根据需求开展项目研究和实践。须于</w:t>
      </w:r>
      <w:r>
        <w:rPr>
          <w:rFonts w:hint="eastAsia" w:ascii="仿宋_GB2312" w:hAnsi="仿宋_GB2312" w:eastAsia="仿宋_GB2312" w:cs="仿宋_GB2312"/>
          <w:b/>
          <w:bCs/>
          <w:sz w:val="28"/>
          <w:szCs w:val="28"/>
        </w:rPr>
        <w:t>4月21日</w:t>
      </w:r>
      <w:r>
        <w:rPr>
          <w:rFonts w:hint="eastAsia" w:ascii="仿宋_GB2312" w:hAnsi="仿宋_GB2312" w:eastAsia="仿宋_GB2312" w:cs="仿宋_GB2312"/>
          <w:sz w:val="28"/>
          <w:szCs w:val="28"/>
        </w:rPr>
        <w:t>前在挑战杯首都赛网站（bj.tiaozhanbei.net）完成初步的信息填报，如团队成员、项目名称，便于学校了解学生参赛情况，同时建群通知竞赛事宜。有成果的团队可以在4月21日前将阶段性成果上传至网站，学校从中选出重点项目进行培育。在网站填报信息和材料时，只需要点击“保存”，不需要“提交”。4月21日之后，参赛团队依然可以对团队成员信息和参赛材料进行修改。</w:t>
      </w:r>
      <w:r>
        <w:rPr>
          <w:rFonts w:hint="eastAsia" w:ascii="仿宋_GB2312" w:hAnsi="仿宋_GB2312" w:eastAsia="仿宋_GB2312" w:cs="仿宋_GB2312"/>
          <w:b/>
          <w:bCs/>
          <w:sz w:val="28"/>
          <w:szCs w:val="28"/>
        </w:rPr>
        <w:t>5月5日晚24点</w:t>
      </w:r>
      <w:r>
        <w:rPr>
          <w:rFonts w:hint="eastAsia" w:ascii="仿宋_GB2312" w:hAnsi="仿宋_GB2312" w:eastAsia="仿宋_GB2312" w:cs="仿宋_GB2312"/>
          <w:sz w:val="28"/>
          <w:szCs w:val="28"/>
        </w:rPr>
        <w:t>前，团队必须在首都赛网站完成最终信息填报和最终版材料提交。“揭榜挂帅”专项赛没有校内遴选，报名后通过参赛资格审核的可以直接参加首都赛。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月中旬—5月下旬，首都赛组委会组织相关领域专家和出题方共同开展评选，评选出本届竞赛铜奖和银奖，并公布入围终评答辩的作品名单。5月下旬—6月上旬，组织专家评审委员会通过线下现场答辩，评选出金奖作品。在金奖团队中，由出题方选出一个“擂主”团队进行签约挂帅，开展后期落地孵化，在“竞榜书”和出题方要求的基础上解决实际问题。</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（二）“青燃希望”新时代希望工程公益服务专项赛。</w:t>
      </w:r>
      <w:r>
        <w:rPr>
          <w:rFonts w:hint="eastAsia" w:ascii="仿宋_GB2312" w:hAnsi="仿宋_GB2312" w:eastAsia="仿宋_GB2312" w:cs="仿宋_GB2312"/>
          <w:sz w:val="28"/>
          <w:szCs w:val="28"/>
        </w:rPr>
        <w:t>“青燃希望”新时代希望工程公益服务专项赛学校可推荐不多于15个项目进入首都赛，其中绿色生态环保选题类不少于3个。参赛团队须参加校内遴选，于4月21日晚24点前在学校指定的赛事网站报名（yaolanbei.tiaozhanbei.net），选择“比赛入口”，选择“2024年‘挑战杯’首都赛‘青燃希望’专项赛校内遴选”进行报名。后续遴选安排见附件。</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月中旬-5月下旬，首都赛组委会组织专家综合项目的公益性、创新性、实践性、可落实性、可复制性、资源整合与宣传动员能力等进行网络评审，评选出铜奖和入围终审答辩作品名单。5月下旬-6月上旬，组织线下终评答辩，专家评审委员会通过答辩评选出金奖、银奖作品。</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（三）“</w:t>
      </w:r>
      <w:bookmarkStart w:id="0" w:name="_Hlk163050032"/>
      <w:r>
        <w:rPr>
          <w:rFonts w:hint="eastAsia" w:ascii="仿宋_GB2312" w:hAnsi="仿宋_GB2312" w:eastAsia="仿宋_GB2312" w:cs="仿宋_GB2312"/>
          <w:b/>
          <w:bCs/>
          <w:sz w:val="28"/>
          <w:szCs w:val="28"/>
        </w:rPr>
        <w:t>青系四海</w:t>
      </w:r>
      <w:bookmarkEnd w:id="0"/>
      <w:r>
        <w:rPr>
          <w:rFonts w:hint="eastAsia" w:ascii="仿宋_GB2312" w:hAnsi="仿宋_GB2312" w:eastAsia="仿宋_GB2312" w:cs="仿宋_GB2312"/>
          <w:b/>
          <w:bCs/>
          <w:sz w:val="28"/>
          <w:szCs w:val="28"/>
        </w:rPr>
        <w:t>”国际交流交往专项赛。</w:t>
      </w:r>
      <w:r>
        <w:rPr>
          <w:rFonts w:hint="eastAsia" w:ascii="仿宋_GB2312" w:hAnsi="仿宋_GB2312" w:eastAsia="仿宋_GB2312" w:cs="仿宋_GB2312"/>
          <w:sz w:val="28"/>
          <w:szCs w:val="28"/>
        </w:rPr>
        <w:t>“青系四海”国际交流交往专项赛学校可推荐不多于10个项目进入首都赛。参赛团队须参加校内遴选，于4月21日晚24点前在学校指定的赛事网站报名（yaolanbei.tiaozhanbei.net），选择“比赛入口”，选择“2024年‘挑战杯’首都赛‘青系四海’专项赛校内遴选”进行报名。后续遴选安排见附件。</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bCs/>
          <w:sz w:val="28"/>
          <w:szCs w:val="28"/>
        </w:rPr>
        <w:t>5月中旬—5月下旬</w:t>
      </w:r>
      <w:r>
        <w:rPr>
          <w:rFonts w:hint="eastAsia" w:ascii="仿宋_GB2312" w:hAnsi="仿宋_GB2312" w:eastAsia="仿宋_GB2312" w:cs="仿宋_GB2312"/>
          <w:sz w:val="28"/>
          <w:szCs w:val="28"/>
        </w:rPr>
        <w:t>，首都赛组织委员会进行资格审查，并组织资深学者、知名企业家、行业专家组成专家评审委员会，通过网络平台对各学校推荐项目进行评审，评选出本届竞赛铜奖和银奖，并公布入围终评答辩的作品名单。</w:t>
      </w:r>
      <w:r>
        <w:rPr>
          <w:rFonts w:hint="eastAsia" w:ascii="仿宋_GB2312" w:hAnsi="仿宋_GB2312" w:eastAsia="仿宋_GB2312" w:cs="仿宋_GB2312"/>
          <w:b/>
          <w:bCs/>
          <w:sz w:val="28"/>
          <w:szCs w:val="28"/>
        </w:rPr>
        <w:t>5月下旬—6月上旬</w:t>
      </w:r>
      <w:r>
        <w:rPr>
          <w:rFonts w:hint="eastAsia" w:ascii="仿宋_GB2312" w:hAnsi="仿宋_GB2312" w:eastAsia="仿宋_GB2312" w:cs="仿宋_GB2312"/>
          <w:sz w:val="28"/>
          <w:szCs w:val="28"/>
        </w:rPr>
        <w:t>，竞赛组织委员会将组织终评答辩，专家评审委员会通过线</w:t>
      </w:r>
      <w:r>
        <w:rPr>
          <w:rFonts w:hint="eastAsia" w:ascii="仿宋_GB2312" w:hAnsi="仿宋_GB2312" w:eastAsia="仿宋_GB2312" w:cs="仿宋_GB2312"/>
          <w:b w:val="0"/>
          <w:bCs w:val="0"/>
          <w:sz w:val="28"/>
          <w:szCs w:val="28"/>
        </w:rPr>
        <w:t>下现场答辩，评选出金奖作品。</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 w:val="0"/>
          <w:bCs w:val="0"/>
          <w:sz w:val="28"/>
          <w:szCs w:val="28"/>
        </w:rPr>
      </w:pPr>
      <w:r>
        <w:rPr>
          <w:rFonts w:hint="eastAsia" w:ascii="黑体" w:hAnsi="黑体" w:eastAsia="黑体"/>
          <w:b w:val="0"/>
          <w:bCs w:val="0"/>
          <w:sz w:val="28"/>
          <w:szCs w:val="28"/>
        </w:rPr>
        <w:t>六、奖项设置</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b/>
          <w:bCs/>
          <w:sz w:val="28"/>
          <w:szCs w:val="28"/>
        </w:rPr>
        <w:t>（一）“揭榜挂帅”专项赛：</w:t>
      </w:r>
      <w:r>
        <w:rPr>
          <w:rFonts w:hint="eastAsia" w:ascii="仿宋_GB2312" w:hAnsi="仿宋_GB2312" w:eastAsia="仿宋_GB2312" w:cs="仿宋_GB2312"/>
          <w:sz w:val="28"/>
          <w:szCs w:val="28"/>
        </w:rPr>
        <w:t>每个选题设“挂帅”项目1个，金奖、银奖、铜奖按照项目总数的10%、15%、25%比例评选产生，其余为淘汰作品。铜奖项目通过网络评审产生，金奖、银奖项目通过网络评审和现场终评答辩产生。普通高校和职业院校不作区分。</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b/>
          <w:bCs/>
          <w:color w:val="222222"/>
          <w:kern w:val="0"/>
          <w:sz w:val="28"/>
          <w:szCs w:val="28"/>
        </w:rPr>
        <w:t>（二）“青燃希望”新时代希望工程公益服务专项赛：</w:t>
      </w:r>
      <w:r>
        <w:rPr>
          <w:rFonts w:hint="eastAsia" w:ascii="仿宋_GB2312" w:hAnsi="仿宋_GB2312" w:eastAsia="仿宋_GB2312" w:cs="仿宋_GB2312"/>
          <w:color w:val="222222"/>
          <w:kern w:val="0"/>
          <w:sz w:val="28"/>
          <w:szCs w:val="28"/>
        </w:rPr>
        <w:t>竞赛设金、银、铜奖，获奖作品数量根据报送作品总数按一定比例评选产生，原则上获奖比例不超过30%。评选分为网络评审和终评答辩两个阶段，铜奖作品通过网络评审产生，金奖、银奖作品通过现场终评答辩产生。</w:t>
      </w:r>
      <w:r>
        <w:rPr>
          <w:rFonts w:hint="eastAsia" w:ascii="仿宋_GB2312" w:hAnsi="仿宋_GB2312" w:eastAsia="仿宋_GB2312" w:cs="仿宋_GB2312"/>
          <w:sz w:val="28"/>
          <w:szCs w:val="28"/>
        </w:rPr>
        <w:t>普通高校和职业院校不作区分。</w:t>
      </w:r>
      <w:r>
        <w:rPr>
          <w:rFonts w:hint="eastAsia" w:ascii="仿宋_GB2312" w:hAnsi="仿宋_GB2312" w:eastAsia="仿宋_GB2312" w:cs="仿宋_GB2312"/>
          <w:b/>
          <w:bCs/>
          <w:sz w:val="28"/>
          <w:szCs w:val="28"/>
        </w:rPr>
        <w:t>本专项赛将于赛后对金、银奖获奖作品提供一定数额的孵化支持，并面向获奖个人或团队开展公益人才培育支持，相关安排视具体情况确定。</w:t>
      </w:r>
      <w:r>
        <w:rPr>
          <w:rFonts w:hint="eastAsia" w:ascii="仿宋_GB2312" w:hAnsi="仿宋_GB2312" w:eastAsia="仿宋_GB2312" w:cs="仿宋_GB2312"/>
          <w:sz w:val="28"/>
          <w:szCs w:val="28"/>
        </w:rPr>
        <w:t>鼓励致力于长期投身公益服务及搭建常态化实践平台的学校、团队和个人积极参与竞赛。</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b/>
          <w:bCs/>
          <w:sz w:val="28"/>
          <w:szCs w:val="28"/>
        </w:rPr>
        <w:t>（三）“青系四海”国际交流交往专项赛：</w:t>
      </w:r>
      <w:r>
        <w:rPr>
          <w:rFonts w:hint="eastAsia" w:ascii="仿宋_GB2312" w:hAnsi="仿宋_GB2312" w:eastAsia="仿宋_GB2312" w:cs="仿宋_GB2312"/>
          <w:sz w:val="28"/>
          <w:szCs w:val="28"/>
        </w:rPr>
        <w:t>“青系四海”国际交流交往专项赛金奖、银奖、铜奖按照项目总数的10%、15%、25%比例评选产生，其余为淘汰作品。铜奖项目通过网络评审产生，金奖、银奖项目通过网络评审和现场终评答辩产生。普通高校和职业院校不作区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 w:val="0"/>
          <w:bCs w:val="0"/>
          <w:sz w:val="28"/>
          <w:szCs w:val="28"/>
        </w:rPr>
      </w:pPr>
      <w:r>
        <w:rPr>
          <w:rFonts w:hint="eastAsia" w:ascii="黑体" w:hAnsi="黑体" w:eastAsia="黑体"/>
          <w:b w:val="0"/>
          <w:bCs w:val="0"/>
          <w:sz w:val="28"/>
          <w:szCs w:val="28"/>
        </w:rPr>
        <w:t>七、参赛奖励</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color w:val="222222"/>
          <w:kern w:val="0"/>
          <w:sz w:val="28"/>
          <w:szCs w:val="28"/>
        </w:rPr>
        <w:t>对获奖的学生给予科技创新学分认定，为“青燃希望”新时代希望工程公益服务专项赛、“青系四海”国际交流交往专项赛获奖学生发放竞赛奖学金，为“揭榜挂帅”专项赛（含4个专项赛）中获得金奖、银奖的学生发放竞赛奖学金。推荐保送免试硕士研究生时，学院可参照当年本科毕业生推免工作通知、依据学院保研加分政策给予一定加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 w:val="0"/>
          <w:bCs w:val="0"/>
          <w:sz w:val="28"/>
          <w:szCs w:val="28"/>
        </w:rPr>
      </w:pPr>
      <w:r>
        <w:rPr>
          <w:rFonts w:hint="eastAsia" w:ascii="黑体" w:hAnsi="黑体" w:eastAsia="黑体"/>
          <w:b w:val="0"/>
          <w:bCs w:val="0"/>
          <w:sz w:val="28"/>
          <w:szCs w:val="28"/>
        </w:rPr>
        <w:t>八、竞赛信息通知及交流群</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ascii="仿宋" w:hAnsi="仿宋" w:eastAsia="仿宋" w:cs="宋体"/>
          <w:color w:val="222222"/>
          <w:kern w:val="0"/>
          <w:sz w:val="28"/>
          <w:szCs w:val="28"/>
        </w:rPr>
      </w:pPr>
      <w:r>
        <w:rPr>
          <w:rFonts w:ascii="仿宋" w:hAnsi="仿宋" w:eastAsia="仿宋" w:cs="宋体"/>
          <w:color w:val="222222"/>
          <w:kern w:val="0"/>
          <w:sz w:val="28"/>
          <w:szCs w:val="28"/>
        </w:rPr>
        <w:drawing>
          <wp:inline distT="0" distB="0" distL="0" distR="0">
            <wp:extent cx="2519680" cy="36144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537315" cy="3638876"/>
                    </a:xfrm>
                    <a:prstGeom prst="rect">
                      <a:avLst/>
                    </a:prstGeom>
                    <a:noFill/>
                    <a:ln>
                      <a:noFill/>
                    </a:ln>
                  </pic:spPr>
                </pic:pic>
              </a:graphicData>
            </a:graphic>
          </wp:inline>
        </w:drawing>
      </w:r>
      <w:r>
        <w:rPr>
          <w:rFonts w:ascii="仿宋" w:hAnsi="仿宋" w:eastAsia="仿宋" w:cs="宋体"/>
          <w:color w:val="222222"/>
          <w:kern w:val="0"/>
          <w:sz w:val="28"/>
          <w:szCs w:val="28"/>
        </w:rPr>
        <w:drawing>
          <wp:inline distT="0" distB="0" distL="0" distR="0">
            <wp:extent cx="2489835" cy="357124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11209" cy="36014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ascii="仿宋" w:hAnsi="仿宋" w:eastAsia="仿宋" w:cs="宋体"/>
          <w:color w:val="222222"/>
          <w:kern w:val="0"/>
          <w:sz w:val="28"/>
          <w:szCs w:val="28"/>
        </w:rPr>
      </w:pPr>
      <w:r>
        <w:rPr>
          <w:rFonts w:ascii="仿宋" w:hAnsi="仿宋" w:eastAsia="仿宋" w:cs="宋体"/>
          <w:color w:val="222222"/>
          <w:kern w:val="0"/>
          <w:sz w:val="28"/>
          <w:szCs w:val="28"/>
        </w:rPr>
        <w:drawing>
          <wp:inline distT="0" distB="0" distL="0" distR="0">
            <wp:extent cx="2562225" cy="3674745"/>
            <wp:effectExtent l="0" t="0" r="952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79064" cy="3698750"/>
                    </a:xfrm>
                    <a:prstGeom prst="rect">
                      <a:avLst/>
                    </a:prstGeom>
                    <a:noFill/>
                    <a:ln>
                      <a:noFill/>
                    </a:ln>
                  </pic:spPr>
                </pic:pic>
              </a:graphicData>
            </a:graphic>
          </wp:inline>
        </w:drawing>
      </w:r>
      <w:r>
        <w:rPr>
          <w:rFonts w:ascii="仿宋" w:hAnsi="仿宋" w:eastAsia="仿宋" w:cs="宋体"/>
          <w:color w:val="222222"/>
          <w:kern w:val="0"/>
          <w:sz w:val="28"/>
          <w:szCs w:val="28"/>
        </w:rPr>
        <w:drawing>
          <wp:inline distT="0" distB="0" distL="0" distR="0">
            <wp:extent cx="2553335" cy="36614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74258" cy="3691857"/>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ascii="仿宋" w:hAnsi="仿宋" w:eastAsia="仿宋" w:cs="宋体"/>
          <w:color w:val="222222"/>
          <w:kern w:val="0"/>
          <w:sz w:val="28"/>
          <w:szCs w:val="28"/>
        </w:rPr>
      </w:pPr>
      <w:r>
        <w:rPr>
          <w:rFonts w:ascii="仿宋" w:hAnsi="仿宋" w:eastAsia="仿宋" w:cs="宋体"/>
          <w:color w:val="222222"/>
          <w:kern w:val="0"/>
          <w:sz w:val="28"/>
          <w:szCs w:val="28"/>
        </w:rPr>
        <w:drawing>
          <wp:inline distT="0" distB="0" distL="0" distR="0">
            <wp:extent cx="2237105" cy="32086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52509" cy="3230423"/>
                    </a:xfrm>
                    <a:prstGeom prst="rect">
                      <a:avLst/>
                    </a:prstGeom>
                    <a:noFill/>
                    <a:ln>
                      <a:noFill/>
                    </a:ln>
                  </pic:spPr>
                </pic:pic>
              </a:graphicData>
            </a:graphic>
          </wp:inline>
        </w:drawing>
      </w:r>
      <w:r>
        <w:rPr>
          <w:rFonts w:ascii="仿宋" w:hAnsi="仿宋" w:eastAsia="仿宋" w:cs="宋体"/>
          <w:color w:val="222222"/>
          <w:kern w:val="0"/>
          <w:sz w:val="28"/>
          <w:szCs w:val="28"/>
        </w:rPr>
        <w:drawing>
          <wp:inline distT="0" distB="0" distL="0" distR="0">
            <wp:extent cx="2190750" cy="314198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07002" cy="3165156"/>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color w:val="222222"/>
          <w:kern w:val="0"/>
          <w:sz w:val="28"/>
          <w:szCs w:val="28"/>
        </w:rPr>
        <w:t>联 系 人：苏烜 宋爽</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color w:val="222222"/>
          <w:kern w:val="0"/>
          <w:sz w:val="28"/>
          <w:szCs w:val="28"/>
        </w:rPr>
        <w:t>联系电话：62334563</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222222"/>
          <w:kern w:val="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ind w:left="1260" w:leftChars="200" w:hanging="840" w:hangingChars="300"/>
        <w:textAlignment w:val="auto"/>
        <w:rPr>
          <w:rFonts w:hint="eastAsia" w:ascii="仿宋_GB2312" w:hAnsi="仿宋_GB2312" w:eastAsia="仿宋_GB2312" w:cs="仿宋_GB2312"/>
          <w:snapToGrid w:val="0"/>
          <w:color w:val="000000"/>
          <w:sz w:val="28"/>
          <w:szCs w:val="28"/>
          <w:lang w:val="en-US" w:eastAsia="zh-CN" w:bidi="ar-SA"/>
        </w:rPr>
      </w:pPr>
      <w:r>
        <w:rPr>
          <w:rFonts w:hint="eastAsia" w:ascii="仿宋_GB2312" w:hAnsi="仿宋_GB2312" w:eastAsia="仿宋_GB2312" w:cs="仿宋_GB2312"/>
          <w:snapToGrid w:val="0"/>
          <w:color w:val="000000"/>
          <w:sz w:val="28"/>
          <w:szCs w:val="28"/>
          <w:lang w:val="en-US" w:eastAsia="zh-CN" w:bidi="ar-SA"/>
        </w:rPr>
        <w:t>附件：1.</w:t>
      </w:r>
      <w:r>
        <w:rPr>
          <w:rFonts w:hint="eastAsia" w:ascii="仿宋_GB2312" w:hAnsi="仿宋_GB2312" w:eastAsia="仿宋_GB2312" w:cs="仿宋_GB2312"/>
          <w:color w:val="222222"/>
          <w:kern w:val="0"/>
          <w:sz w:val="28"/>
          <w:szCs w:val="28"/>
        </w:rPr>
        <w:t>关于“青创北京”2024年挑战杯首都大学生创业计划竞赛“揭榜挂帅”专项赛组织参赛的通知</w:t>
      </w:r>
    </w:p>
    <w:p>
      <w:pPr>
        <w:keepNext w:val="0"/>
        <w:keepLines w:val="0"/>
        <w:pageBreakBefore w:val="0"/>
        <w:widowControl w:val="0"/>
        <w:kinsoku/>
        <w:wordWrap/>
        <w:overflowPunct/>
        <w:topLinePunct w:val="0"/>
        <w:autoSpaceDE/>
        <w:autoSpaceDN/>
        <w:bidi w:val="0"/>
        <w:adjustRightInd w:val="0"/>
        <w:snapToGrid w:val="0"/>
        <w:spacing w:line="360" w:lineRule="auto"/>
        <w:ind w:left="1580" w:leftChars="619" w:hanging="280" w:hangingChars="100"/>
        <w:textAlignment w:val="auto"/>
        <w:rPr>
          <w:rFonts w:hint="eastAsia" w:ascii="仿宋_GB2312" w:hAnsi="仿宋_GB2312" w:eastAsia="仿宋_GB2312" w:cs="仿宋_GB2312"/>
          <w:snapToGrid w:val="0"/>
          <w:color w:val="000000"/>
          <w:sz w:val="28"/>
          <w:szCs w:val="28"/>
          <w:lang w:val="en-US" w:eastAsia="zh-CN" w:bidi="ar-SA"/>
        </w:rPr>
      </w:pPr>
      <w:r>
        <w:rPr>
          <w:rFonts w:hint="eastAsia" w:ascii="仿宋_GB2312" w:hAnsi="仿宋_GB2312" w:eastAsia="仿宋_GB2312" w:cs="仿宋_GB2312"/>
          <w:snapToGrid w:val="0"/>
          <w:color w:val="000000"/>
          <w:sz w:val="28"/>
          <w:szCs w:val="28"/>
          <w:lang w:val="en-US" w:eastAsia="zh-CN" w:bidi="ar-SA"/>
        </w:rPr>
        <w:t>2.</w:t>
      </w:r>
      <w:r>
        <w:rPr>
          <w:rFonts w:hint="eastAsia" w:ascii="仿宋_GB2312" w:hAnsi="仿宋_GB2312" w:eastAsia="仿宋_GB2312" w:cs="仿宋_GB2312"/>
          <w:color w:val="222222"/>
          <w:kern w:val="0"/>
          <w:sz w:val="28"/>
          <w:szCs w:val="28"/>
        </w:rPr>
        <w:t>“青创北京”2024年挑战杯首都大学生创业计划竞赛“揭榜挂帅”专项赛榜单（含4个专项赛榜单）</w:t>
      </w:r>
    </w:p>
    <w:p>
      <w:pPr>
        <w:keepNext w:val="0"/>
        <w:keepLines w:val="0"/>
        <w:pageBreakBefore w:val="0"/>
        <w:widowControl w:val="0"/>
        <w:kinsoku/>
        <w:wordWrap/>
        <w:overflowPunct/>
        <w:topLinePunct w:val="0"/>
        <w:autoSpaceDE/>
        <w:autoSpaceDN/>
        <w:bidi w:val="0"/>
        <w:adjustRightInd w:val="0"/>
        <w:snapToGrid w:val="0"/>
        <w:spacing w:line="360" w:lineRule="auto"/>
        <w:ind w:left="1580" w:leftChars="619" w:hanging="280" w:hangingChars="100"/>
        <w:textAlignment w:val="auto"/>
        <w:rPr>
          <w:rFonts w:hint="eastAsia" w:ascii="仿宋_GB2312" w:hAnsi="仿宋_GB2312" w:eastAsia="仿宋_GB2312" w:cs="仿宋_GB2312"/>
          <w:snapToGrid w:val="0"/>
          <w:color w:val="000000"/>
          <w:sz w:val="28"/>
          <w:szCs w:val="28"/>
          <w:lang w:val="en-US" w:eastAsia="zh-CN" w:bidi="ar-SA"/>
        </w:rPr>
      </w:pPr>
      <w:r>
        <w:rPr>
          <w:rFonts w:hint="eastAsia" w:ascii="仿宋_GB2312" w:hAnsi="仿宋_GB2312" w:eastAsia="仿宋_GB2312" w:cs="仿宋_GB2312"/>
          <w:snapToGrid w:val="0"/>
          <w:color w:val="000000"/>
          <w:sz w:val="28"/>
          <w:szCs w:val="28"/>
          <w:lang w:val="en-US" w:eastAsia="zh-CN" w:bidi="ar-SA"/>
        </w:rPr>
        <w:t>3.</w:t>
      </w:r>
      <w:r>
        <w:rPr>
          <w:rFonts w:hint="eastAsia" w:ascii="仿宋_GB2312" w:hAnsi="仿宋_GB2312" w:eastAsia="仿宋_GB2312" w:cs="仿宋_GB2312"/>
          <w:color w:val="222222"/>
          <w:kern w:val="0"/>
          <w:sz w:val="28"/>
          <w:szCs w:val="28"/>
        </w:rPr>
        <w:t>关于“青创北京”2024年“挑战杯”首都大学生创业计划竞赛“青燃希望”新时代希望工程公益服务专项赛组织参赛的通知</w:t>
      </w:r>
    </w:p>
    <w:p>
      <w:pPr>
        <w:keepNext w:val="0"/>
        <w:keepLines w:val="0"/>
        <w:pageBreakBefore w:val="0"/>
        <w:widowControl w:val="0"/>
        <w:kinsoku/>
        <w:wordWrap/>
        <w:overflowPunct/>
        <w:topLinePunct w:val="0"/>
        <w:autoSpaceDE/>
        <w:autoSpaceDN/>
        <w:bidi w:val="0"/>
        <w:adjustRightInd w:val="0"/>
        <w:snapToGrid w:val="0"/>
        <w:spacing w:line="360" w:lineRule="auto"/>
        <w:ind w:left="1580" w:leftChars="619" w:hanging="280" w:hangingChars="100"/>
        <w:textAlignment w:val="auto"/>
        <w:rPr>
          <w:rFonts w:hint="eastAsia" w:ascii="仿宋_GB2312" w:hAnsi="仿宋_GB2312" w:eastAsia="仿宋_GB2312" w:cs="仿宋_GB2312"/>
          <w:color w:val="222222"/>
          <w:kern w:val="0"/>
          <w:sz w:val="28"/>
          <w:szCs w:val="28"/>
        </w:rPr>
      </w:pPr>
      <w:r>
        <w:rPr>
          <w:rFonts w:hint="eastAsia" w:ascii="仿宋_GB2312" w:hAnsi="仿宋_GB2312" w:eastAsia="仿宋_GB2312" w:cs="仿宋_GB2312"/>
          <w:snapToGrid w:val="0"/>
          <w:color w:val="000000"/>
          <w:sz w:val="28"/>
          <w:szCs w:val="28"/>
          <w:lang w:val="en-US" w:eastAsia="zh-CN" w:bidi="ar-SA"/>
        </w:rPr>
        <w:t>4.</w:t>
      </w:r>
      <w:r>
        <w:rPr>
          <w:rFonts w:hint="eastAsia" w:ascii="仿宋_GB2312" w:hAnsi="仿宋_GB2312" w:eastAsia="仿宋_GB2312" w:cs="仿宋_GB2312"/>
          <w:color w:val="222222"/>
          <w:kern w:val="0"/>
          <w:sz w:val="28"/>
          <w:szCs w:val="28"/>
        </w:rPr>
        <w:t>关于“青创北京”2024年“挑战杯”首都大学生创业计划竞赛“</w:t>
      </w:r>
      <w:bookmarkStart w:id="1" w:name="_GoBack"/>
      <w:bookmarkEnd w:id="1"/>
      <w:r>
        <w:rPr>
          <w:rFonts w:hint="eastAsia" w:ascii="仿宋_GB2312" w:hAnsi="仿宋_GB2312" w:eastAsia="仿宋_GB2312" w:cs="仿宋_GB2312"/>
          <w:color w:val="222222"/>
          <w:kern w:val="0"/>
          <w:sz w:val="28"/>
          <w:szCs w:val="28"/>
        </w:rPr>
        <w:t>青系四海”国际交流交往专项赛组织参赛的通知</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222222"/>
          <w:kern w:val="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right"/>
        <w:textAlignment w:val="auto"/>
        <w:rPr>
          <w:rFonts w:hint="eastAsia" w:ascii="仿宋_GB2312" w:hAnsi="仿宋_GB2312" w:eastAsia="仿宋_GB2312" w:cs="仿宋_GB2312"/>
          <w:b w:val="0"/>
          <w:bCs w:val="0"/>
          <w:color w:val="222222"/>
          <w:kern w:val="0"/>
          <w:sz w:val="28"/>
          <w:szCs w:val="28"/>
        </w:rPr>
      </w:pPr>
      <w:r>
        <w:rPr>
          <w:rFonts w:hint="eastAsia" w:ascii="仿宋_GB2312" w:hAnsi="仿宋_GB2312" w:eastAsia="仿宋_GB2312" w:cs="仿宋_GB2312"/>
          <w:b w:val="0"/>
          <w:bCs w:val="0"/>
          <w:color w:val="222222"/>
          <w:kern w:val="0"/>
          <w:sz w:val="28"/>
          <w:szCs w:val="28"/>
        </w:rPr>
        <w:t>共青团北京科技大学委员会</w:t>
      </w: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jc w:val="right"/>
        <w:textAlignment w:val="auto"/>
        <w:rPr>
          <w:rFonts w:hint="default" w:ascii="仿宋_GB2312" w:hAnsi="仿宋_GB2312" w:eastAsia="仿宋_GB2312" w:cs="仿宋_GB2312"/>
          <w:b w:val="0"/>
          <w:bCs w:val="0"/>
          <w:color w:val="222222"/>
          <w:kern w:val="0"/>
          <w:sz w:val="28"/>
          <w:szCs w:val="28"/>
          <w:lang w:val="en-US" w:eastAsia="zh-CN"/>
        </w:rPr>
      </w:pPr>
      <w:r>
        <w:rPr>
          <w:rFonts w:hint="eastAsia" w:ascii="仿宋_GB2312" w:hAnsi="仿宋_GB2312" w:eastAsia="仿宋_GB2312" w:cs="仿宋_GB2312"/>
          <w:b w:val="0"/>
          <w:bCs w:val="0"/>
          <w:color w:val="222222"/>
          <w:kern w:val="0"/>
          <w:sz w:val="28"/>
          <w:szCs w:val="28"/>
          <w:lang w:val="en-US" w:eastAsia="zh-CN"/>
        </w:rPr>
        <w:t xml:space="preserve">2024年4月8日    </w:t>
      </w:r>
    </w:p>
    <w:sectPr>
      <w:footerReference r:id="rId3" w:type="default"/>
      <w:pgSz w:w="11906" w:h="16838"/>
      <w:pgMar w:top="1440" w:right="1417" w:bottom="1440"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hint="eastAsia" w:ascii="仿宋_GB2312" w:hAnsi="仿宋_GB2312" w:eastAsia="仿宋_GB2312" w:cs="仿宋_GB2312"/>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1MmJhMjY3MWEzMjE4MGEzOGUzZWU5Y2MxN2M1OTYifQ=="/>
  </w:docVars>
  <w:rsids>
    <w:rsidRoot w:val="00436CF1"/>
    <w:rsid w:val="000108F1"/>
    <w:rsid w:val="000133AF"/>
    <w:rsid w:val="00015235"/>
    <w:rsid w:val="000203C8"/>
    <w:rsid w:val="0002376E"/>
    <w:rsid w:val="00034B9A"/>
    <w:rsid w:val="00047FBF"/>
    <w:rsid w:val="00053FA3"/>
    <w:rsid w:val="000659C9"/>
    <w:rsid w:val="00096274"/>
    <w:rsid w:val="000B064D"/>
    <w:rsid w:val="000B1567"/>
    <w:rsid w:val="000B1D36"/>
    <w:rsid w:val="000C36F3"/>
    <w:rsid w:val="000C3993"/>
    <w:rsid w:val="000C70B0"/>
    <w:rsid w:val="000D24E5"/>
    <w:rsid w:val="000D53A8"/>
    <w:rsid w:val="000D709F"/>
    <w:rsid w:val="000D70F2"/>
    <w:rsid w:val="000E3DE9"/>
    <w:rsid w:val="000F2784"/>
    <w:rsid w:val="001315A0"/>
    <w:rsid w:val="00143ACB"/>
    <w:rsid w:val="00144906"/>
    <w:rsid w:val="001471D2"/>
    <w:rsid w:val="0015222C"/>
    <w:rsid w:val="00160197"/>
    <w:rsid w:val="00162254"/>
    <w:rsid w:val="001714F3"/>
    <w:rsid w:val="00181AFB"/>
    <w:rsid w:val="00193B47"/>
    <w:rsid w:val="001B3EAE"/>
    <w:rsid w:val="001B77D8"/>
    <w:rsid w:val="001C0637"/>
    <w:rsid w:val="001D3CAE"/>
    <w:rsid w:val="001F714D"/>
    <w:rsid w:val="002061D2"/>
    <w:rsid w:val="002137CC"/>
    <w:rsid w:val="0021581E"/>
    <w:rsid w:val="00222DFC"/>
    <w:rsid w:val="0023397B"/>
    <w:rsid w:val="00244FA2"/>
    <w:rsid w:val="002574B3"/>
    <w:rsid w:val="00286095"/>
    <w:rsid w:val="00286F18"/>
    <w:rsid w:val="00287344"/>
    <w:rsid w:val="002A1BC9"/>
    <w:rsid w:val="002A3CE6"/>
    <w:rsid w:val="002A6A0B"/>
    <w:rsid w:val="002B4335"/>
    <w:rsid w:val="002B554C"/>
    <w:rsid w:val="002D45EB"/>
    <w:rsid w:val="002D652B"/>
    <w:rsid w:val="002E06D7"/>
    <w:rsid w:val="00300638"/>
    <w:rsid w:val="0031508E"/>
    <w:rsid w:val="00324C04"/>
    <w:rsid w:val="003469AD"/>
    <w:rsid w:val="003566E7"/>
    <w:rsid w:val="003616CD"/>
    <w:rsid w:val="00365FA6"/>
    <w:rsid w:val="00371B63"/>
    <w:rsid w:val="003919C3"/>
    <w:rsid w:val="003932F3"/>
    <w:rsid w:val="00397E12"/>
    <w:rsid w:val="003A5764"/>
    <w:rsid w:val="003B0BBD"/>
    <w:rsid w:val="003B10CB"/>
    <w:rsid w:val="003B4E6C"/>
    <w:rsid w:val="003C56B4"/>
    <w:rsid w:val="003D411C"/>
    <w:rsid w:val="003E710A"/>
    <w:rsid w:val="003F55F5"/>
    <w:rsid w:val="003F5EA7"/>
    <w:rsid w:val="0040200A"/>
    <w:rsid w:val="00415142"/>
    <w:rsid w:val="00435773"/>
    <w:rsid w:val="00436CF1"/>
    <w:rsid w:val="004376A1"/>
    <w:rsid w:val="0044155D"/>
    <w:rsid w:val="004459F2"/>
    <w:rsid w:val="0045178F"/>
    <w:rsid w:val="00455FBF"/>
    <w:rsid w:val="00461ED6"/>
    <w:rsid w:val="00467A89"/>
    <w:rsid w:val="004765D0"/>
    <w:rsid w:val="00492164"/>
    <w:rsid w:val="004A3205"/>
    <w:rsid w:val="004A4F18"/>
    <w:rsid w:val="004C0BFB"/>
    <w:rsid w:val="004E414C"/>
    <w:rsid w:val="004F0780"/>
    <w:rsid w:val="004F2967"/>
    <w:rsid w:val="0050371A"/>
    <w:rsid w:val="00505171"/>
    <w:rsid w:val="00506C3E"/>
    <w:rsid w:val="005105BB"/>
    <w:rsid w:val="0051358B"/>
    <w:rsid w:val="005138E5"/>
    <w:rsid w:val="00515881"/>
    <w:rsid w:val="00533F68"/>
    <w:rsid w:val="005437CA"/>
    <w:rsid w:val="00572F62"/>
    <w:rsid w:val="00574944"/>
    <w:rsid w:val="00574977"/>
    <w:rsid w:val="00583411"/>
    <w:rsid w:val="005870A3"/>
    <w:rsid w:val="00590DA2"/>
    <w:rsid w:val="00597F65"/>
    <w:rsid w:val="005A0495"/>
    <w:rsid w:val="005A0935"/>
    <w:rsid w:val="005C14D8"/>
    <w:rsid w:val="005C2DF3"/>
    <w:rsid w:val="005C47E0"/>
    <w:rsid w:val="005C6AA3"/>
    <w:rsid w:val="005E6D37"/>
    <w:rsid w:val="005F0EA7"/>
    <w:rsid w:val="005F1471"/>
    <w:rsid w:val="005F46E8"/>
    <w:rsid w:val="00644226"/>
    <w:rsid w:val="006465AE"/>
    <w:rsid w:val="00646769"/>
    <w:rsid w:val="00662F23"/>
    <w:rsid w:val="00664261"/>
    <w:rsid w:val="006863D1"/>
    <w:rsid w:val="00696E42"/>
    <w:rsid w:val="006B1D0C"/>
    <w:rsid w:val="006B305C"/>
    <w:rsid w:val="006B4D54"/>
    <w:rsid w:val="006C3CC7"/>
    <w:rsid w:val="006C7CEF"/>
    <w:rsid w:val="006D07B0"/>
    <w:rsid w:val="006F1601"/>
    <w:rsid w:val="006F3EBB"/>
    <w:rsid w:val="006F60EF"/>
    <w:rsid w:val="00700043"/>
    <w:rsid w:val="00704ED8"/>
    <w:rsid w:val="00711FD5"/>
    <w:rsid w:val="00712EC6"/>
    <w:rsid w:val="00721A6D"/>
    <w:rsid w:val="007539F9"/>
    <w:rsid w:val="00772C02"/>
    <w:rsid w:val="00780167"/>
    <w:rsid w:val="00780B80"/>
    <w:rsid w:val="0078724E"/>
    <w:rsid w:val="00794D79"/>
    <w:rsid w:val="007A0A0C"/>
    <w:rsid w:val="007B6A8A"/>
    <w:rsid w:val="007C0E88"/>
    <w:rsid w:val="007C0F27"/>
    <w:rsid w:val="007C1EF7"/>
    <w:rsid w:val="007D0DF1"/>
    <w:rsid w:val="007D60E7"/>
    <w:rsid w:val="007E1D9A"/>
    <w:rsid w:val="008140B2"/>
    <w:rsid w:val="00816DCF"/>
    <w:rsid w:val="0084169B"/>
    <w:rsid w:val="00843A43"/>
    <w:rsid w:val="00856AA1"/>
    <w:rsid w:val="00875628"/>
    <w:rsid w:val="00882786"/>
    <w:rsid w:val="00896CA6"/>
    <w:rsid w:val="008A58B3"/>
    <w:rsid w:val="008A596F"/>
    <w:rsid w:val="008C2A90"/>
    <w:rsid w:val="008D498A"/>
    <w:rsid w:val="008D7B9E"/>
    <w:rsid w:val="008E1239"/>
    <w:rsid w:val="008F1D57"/>
    <w:rsid w:val="0090066A"/>
    <w:rsid w:val="00902AA0"/>
    <w:rsid w:val="009043F4"/>
    <w:rsid w:val="00904FDE"/>
    <w:rsid w:val="00915041"/>
    <w:rsid w:val="0092431A"/>
    <w:rsid w:val="00926580"/>
    <w:rsid w:val="00940108"/>
    <w:rsid w:val="009459F4"/>
    <w:rsid w:val="00946D21"/>
    <w:rsid w:val="00951723"/>
    <w:rsid w:val="00953001"/>
    <w:rsid w:val="00957309"/>
    <w:rsid w:val="00965368"/>
    <w:rsid w:val="009659B6"/>
    <w:rsid w:val="009732CD"/>
    <w:rsid w:val="009810D2"/>
    <w:rsid w:val="00983852"/>
    <w:rsid w:val="00990BC0"/>
    <w:rsid w:val="009A21ED"/>
    <w:rsid w:val="009A42ED"/>
    <w:rsid w:val="009A5455"/>
    <w:rsid w:val="009A5DE5"/>
    <w:rsid w:val="009B030A"/>
    <w:rsid w:val="009B0B3C"/>
    <w:rsid w:val="009B4EB3"/>
    <w:rsid w:val="009B5B4D"/>
    <w:rsid w:val="009B5C40"/>
    <w:rsid w:val="009C102F"/>
    <w:rsid w:val="009C733A"/>
    <w:rsid w:val="009D4126"/>
    <w:rsid w:val="009D5BC7"/>
    <w:rsid w:val="00A10C40"/>
    <w:rsid w:val="00A24E1B"/>
    <w:rsid w:val="00A30154"/>
    <w:rsid w:val="00A3079F"/>
    <w:rsid w:val="00A34F6F"/>
    <w:rsid w:val="00A35721"/>
    <w:rsid w:val="00A4643F"/>
    <w:rsid w:val="00A472FC"/>
    <w:rsid w:val="00A4788D"/>
    <w:rsid w:val="00A5253C"/>
    <w:rsid w:val="00A5556E"/>
    <w:rsid w:val="00A657EC"/>
    <w:rsid w:val="00A67155"/>
    <w:rsid w:val="00A722D4"/>
    <w:rsid w:val="00A733D8"/>
    <w:rsid w:val="00A822B4"/>
    <w:rsid w:val="00A85418"/>
    <w:rsid w:val="00A942AF"/>
    <w:rsid w:val="00AA167E"/>
    <w:rsid w:val="00AA4183"/>
    <w:rsid w:val="00AD0B42"/>
    <w:rsid w:val="00AE05FF"/>
    <w:rsid w:val="00AE5CA8"/>
    <w:rsid w:val="00AF3B49"/>
    <w:rsid w:val="00B03FA5"/>
    <w:rsid w:val="00B30A22"/>
    <w:rsid w:val="00B34247"/>
    <w:rsid w:val="00B42DA1"/>
    <w:rsid w:val="00B50778"/>
    <w:rsid w:val="00B52A2B"/>
    <w:rsid w:val="00B52E4E"/>
    <w:rsid w:val="00B6371D"/>
    <w:rsid w:val="00B70EDF"/>
    <w:rsid w:val="00B76172"/>
    <w:rsid w:val="00BA319A"/>
    <w:rsid w:val="00BB5BA3"/>
    <w:rsid w:val="00BC5B8B"/>
    <w:rsid w:val="00BE4F7D"/>
    <w:rsid w:val="00BF0C33"/>
    <w:rsid w:val="00BF722C"/>
    <w:rsid w:val="00C02974"/>
    <w:rsid w:val="00C07068"/>
    <w:rsid w:val="00C16A09"/>
    <w:rsid w:val="00C51C11"/>
    <w:rsid w:val="00C5450B"/>
    <w:rsid w:val="00C7417A"/>
    <w:rsid w:val="00C75F65"/>
    <w:rsid w:val="00C77537"/>
    <w:rsid w:val="00C826D6"/>
    <w:rsid w:val="00C8725B"/>
    <w:rsid w:val="00C875D6"/>
    <w:rsid w:val="00CA1729"/>
    <w:rsid w:val="00CA3311"/>
    <w:rsid w:val="00CA3FE4"/>
    <w:rsid w:val="00CA5E08"/>
    <w:rsid w:val="00CB3229"/>
    <w:rsid w:val="00CC2927"/>
    <w:rsid w:val="00CC7AA8"/>
    <w:rsid w:val="00CD26B5"/>
    <w:rsid w:val="00CD355B"/>
    <w:rsid w:val="00CE1069"/>
    <w:rsid w:val="00CE50B2"/>
    <w:rsid w:val="00CE5D0A"/>
    <w:rsid w:val="00CF0768"/>
    <w:rsid w:val="00CF1D9C"/>
    <w:rsid w:val="00CF79DD"/>
    <w:rsid w:val="00D01EC7"/>
    <w:rsid w:val="00D1042F"/>
    <w:rsid w:val="00D1085E"/>
    <w:rsid w:val="00D13DAA"/>
    <w:rsid w:val="00D22ABF"/>
    <w:rsid w:val="00D24D7C"/>
    <w:rsid w:val="00D25072"/>
    <w:rsid w:val="00D27221"/>
    <w:rsid w:val="00D32959"/>
    <w:rsid w:val="00D410F7"/>
    <w:rsid w:val="00D44577"/>
    <w:rsid w:val="00D51E51"/>
    <w:rsid w:val="00D56370"/>
    <w:rsid w:val="00D70B45"/>
    <w:rsid w:val="00D735EE"/>
    <w:rsid w:val="00D74AD8"/>
    <w:rsid w:val="00D761E8"/>
    <w:rsid w:val="00D77870"/>
    <w:rsid w:val="00D83A22"/>
    <w:rsid w:val="00D86AB7"/>
    <w:rsid w:val="00D86B0A"/>
    <w:rsid w:val="00D93940"/>
    <w:rsid w:val="00D94A38"/>
    <w:rsid w:val="00D960C6"/>
    <w:rsid w:val="00DA76F1"/>
    <w:rsid w:val="00DC56CD"/>
    <w:rsid w:val="00DD0335"/>
    <w:rsid w:val="00DD5F38"/>
    <w:rsid w:val="00DD74E9"/>
    <w:rsid w:val="00DD7838"/>
    <w:rsid w:val="00E05399"/>
    <w:rsid w:val="00E36599"/>
    <w:rsid w:val="00E37018"/>
    <w:rsid w:val="00E40ED7"/>
    <w:rsid w:val="00E444D5"/>
    <w:rsid w:val="00E53CBA"/>
    <w:rsid w:val="00E60178"/>
    <w:rsid w:val="00E62CA2"/>
    <w:rsid w:val="00E63A3A"/>
    <w:rsid w:val="00E64F75"/>
    <w:rsid w:val="00E77093"/>
    <w:rsid w:val="00E8140F"/>
    <w:rsid w:val="00E81D78"/>
    <w:rsid w:val="00E82BB2"/>
    <w:rsid w:val="00E9022C"/>
    <w:rsid w:val="00E93E3D"/>
    <w:rsid w:val="00EA07D3"/>
    <w:rsid w:val="00EA16F7"/>
    <w:rsid w:val="00EA59AF"/>
    <w:rsid w:val="00EB0447"/>
    <w:rsid w:val="00EC1D48"/>
    <w:rsid w:val="00EC6D32"/>
    <w:rsid w:val="00ED005F"/>
    <w:rsid w:val="00ED2171"/>
    <w:rsid w:val="00EF16C3"/>
    <w:rsid w:val="00EF2E49"/>
    <w:rsid w:val="00EF33AE"/>
    <w:rsid w:val="00F03479"/>
    <w:rsid w:val="00F12443"/>
    <w:rsid w:val="00F17299"/>
    <w:rsid w:val="00F2335F"/>
    <w:rsid w:val="00F332EB"/>
    <w:rsid w:val="00F44587"/>
    <w:rsid w:val="00F61B26"/>
    <w:rsid w:val="00F64FFC"/>
    <w:rsid w:val="00F660E7"/>
    <w:rsid w:val="00F80EC6"/>
    <w:rsid w:val="00F96576"/>
    <w:rsid w:val="00F978A8"/>
    <w:rsid w:val="00FA2002"/>
    <w:rsid w:val="00FA507C"/>
    <w:rsid w:val="00FB2407"/>
    <w:rsid w:val="00FD1DFF"/>
    <w:rsid w:val="00FD485E"/>
    <w:rsid w:val="00FE0274"/>
    <w:rsid w:val="00FE5FEB"/>
    <w:rsid w:val="00FE776C"/>
    <w:rsid w:val="0D7266AB"/>
    <w:rsid w:val="292C5E92"/>
    <w:rsid w:val="361A3F33"/>
    <w:rsid w:val="433A6924"/>
    <w:rsid w:val="5763251B"/>
    <w:rsid w:val="7B0A4083"/>
    <w:rsid w:val="7E860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28"/>
      <w:szCs w:val="2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kern w:val="2"/>
      <w:sz w:val="18"/>
      <w:szCs w:val="18"/>
    </w:rPr>
  </w:style>
  <w:style w:type="character" w:customStyle="1" w:styleId="8">
    <w:name w:val="页脚 字符"/>
    <w:basedOn w:val="6"/>
    <w:link w:val="3"/>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657</Words>
  <Characters>3750</Characters>
  <Lines>31</Lines>
  <Paragraphs>8</Paragraphs>
  <TotalTime>2</TotalTime>
  <ScaleCrop>false</ScaleCrop>
  <LinksUpToDate>false</LinksUpToDate>
  <CharactersWithSpaces>4399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2023-03-06T00:43:00Z</dcterms:created>
  <dc:creator>ASUS</dc:creator>
  <cp:lastModifiedBy>信息文秘</cp:lastModifiedBy>
  <dcterms:modified xsi:type="dcterms:W3CDTF">2024-04-07T13:55:54Z</dcterms:modified>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40BD89EFC6A24BB683D0FEF0A335A7C9</vt:lpwstr>
  </property>
</Properties>
</file>