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7C66" w14:textId="77777777" w:rsidR="00094C1D" w:rsidRDefault="00000000">
      <w:pPr>
        <w:snapToGrid w:val="0"/>
        <w:spacing w:line="360" w:lineRule="auto"/>
        <w:jc w:val="left"/>
        <w:rPr>
          <w:rFonts w:ascii="宋体" w:hAnsi="宋体" w:cs="宋体"/>
          <w:sz w:val="28"/>
          <w:szCs w:val="28"/>
        </w:rPr>
      </w:pPr>
      <w:r>
        <w:rPr>
          <w:rFonts w:ascii="宋体" w:hAnsi="宋体" w:cs="宋体" w:hint="eastAsia"/>
          <w:sz w:val="28"/>
          <w:szCs w:val="28"/>
        </w:rPr>
        <w:t>附件1：</w:t>
      </w:r>
    </w:p>
    <w:p w14:paraId="14ED089C" w14:textId="77777777" w:rsidR="00094C1D" w:rsidRDefault="00000000">
      <w:pPr>
        <w:snapToGrid w:val="0"/>
        <w:spacing w:line="360" w:lineRule="auto"/>
        <w:jc w:val="center"/>
        <w:rPr>
          <w:rFonts w:ascii="华文中宋" w:eastAsia="华文中宋" w:hAnsi="华文中宋" w:cs="华文中宋"/>
          <w:b/>
          <w:bCs/>
          <w:sz w:val="32"/>
          <w:szCs w:val="32"/>
        </w:rPr>
      </w:pPr>
      <w:r>
        <w:rPr>
          <w:rFonts w:ascii="华文中宋" w:eastAsia="华文中宋" w:hAnsi="华文中宋" w:cs="华文中宋" w:hint="eastAsia"/>
          <w:b/>
          <w:bCs/>
          <w:sz w:val="32"/>
          <w:szCs w:val="32"/>
        </w:rPr>
        <w:t>关于“青创北京”2024年“挑战杯”首都大学生创业计划竞赛“揭榜挂帅”专项赛组织参赛的通知</w:t>
      </w:r>
    </w:p>
    <w:p w14:paraId="646FFAF2" w14:textId="77777777" w:rsidR="00094C1D" w:rsidRDefault="00094C1D">
      <w:pPr>
        <w:adjustRightInd w:val="0"/>
        <w:snapToGrid w:val="0"/>
        <w:spacing w:line="360" w:lineRule="auto"/>
        <w:rPr>
          <w:rFonts w:ascii="华文中宋" w:eastAsia="华文中宋" w:hAnsi="华文中宋" w:cs="华文中宋"/>
          <w:sz w:val="28"/>
          <w:szCs w:val="28"/>
        </w:rPr>
      </w:pPr>
    </w:p>
    <w:p w14:paraId="36FB118C" w14:textId="77777777" w:rsidR="00094C1D" w:rsidRDefault="00000000">
      <w:pPr>
        <w:adjustRightInd w:val="0"/>
        <w:snapToGrid w:val="0"/>
        <w:spacing w:line="360" w:lineRule="auto"/>
        <w:ind w:firstLine="57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青创北京”2024年“挑战杯”首都大学生创业计划竞赛在竞赛主框架下引入“揭榜挂帅”机制，举办4个“揭榜挂帅”专项赛，分别为：“青振京郊”乡村振兴专项赛、“青协发展”京津冀区域协同发展专项赛、“青智未来”新质生产力专项赛、“青绘京彩”文旅创意专项赛，相关事宜如下。</w:t>
      </w:r>
    </w:p>
    <w:p w14:paraId="58DCF675" w14:textId="77777777" w:rsidR="00094C1D" w:rsidRDefault="00000000">
      <w:pPr>
        <w:adjustRightInd w:val="0"/>
        <w:snapToGrid w:val="0"/>
        <w:spacing w:line="360" w:lineRule="auto"/>
        <w:ind w:firstLine="570"/>
        <w:rPr>
          <w:rFonts w:ascii="黑体" w:eastAsia="黑体" w:hAnsi="黑体" w:cs="黑体"/>
          <w:sz w:val="28"/>
          <w:szCs w:val="28"/>
        </w:rPr>
      </w:pPr>
      <w:r>
        <w:rPr>
          <w:rFonts w:ascii="黑体" w:eastAsia="黑体" w:hAnsi="黑体" w:cs="黑体" w:hint="eastAsia"/>
          <w:sz w:val="28"/>
          <w:szCs w:val="28"/>
        </w:rPr>
        <w:t>一、办赛理念</w:t>
      </w:r>
    </w:p>
    <w:p w14:paraId="2FE7D519" w14:textId="77777777" w:rsidR="00094C1D" w:rsidRDefault="00000000">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竞赛采取“政企发榜、竞争揭榜、开榜签约”的方式，面向各级政府、企事业单位、行业协会等公开征集榜单，在最大范围内征集和优选学生创业团队，由团队根据榜单要求与出题单位具体情况，提出具有可行性的创业计划方案，从而为“出榜者”与“揭榜者”搭建沟通交流、双向选择的平台，架构起政企校产学研深度融合的桥梁。榜单内容可查阅附件2。</w:t>
      </w:r>
    </w:p>
    <w:p w14:paraId="6BE6FDD1" w14:textId="77777777" w:rsidR="00094C1D" w:rsidRDefault="00000000">
      <w:pPr>
        <w:adjustRightInd w:val="0"/>
        <w:snapToGrid w:val="0"/>
        <w:spacing w:line="360" w:lineRule="auto"/>
        <w:ind w:firstLine="570"/>
        <w:rPr>
          <w:rFonts w:ascii="黑体" w:eastAsia="黑体" w:hAnsi="黑体"/>
          <w:sz w:val="28"/>
          <w:szCs w:val="28"/>
        </w:rPr>
      </w:pPr>
      <w:r>
        <w:rPr>
          <w:rFonts w:ascii="黑体" w:eastAsia="黑体" w:hAnsi="黑体" w:hint="eastAsia"/>
          <w:sz w:val="28"/>
          <w:szCs w:val="28"/>
        </w:rPr>
        <w:t>二、赛事内容</w:t>
      </w:r>
    </w:p>
    <w:p w14:paraId="17A41DAF" w14:textId="77777777" w:rsidR="00094C1D" w:rsidRDefault="00000000">
      <w:pPr>
        <w:adjustRightInd w:val="0"/>
        <w:snapToGrid w:val="0"/>
        <w:spacing w:line="360" w:lineRule="auto"/>
        <w:ind w:firstLineChars="200" w:firstLine="562"/>
        <w:rPr>
          <w:rFonts w:ascii="仿宋_GB2312" w:eastAsia="仿宋_GB2312"/>
          <w:sz w:val="28"/>
          <w:szCs w:val="28"/>
        </w:rPr>
      </w:pPr>
      <w:r>
        <w:rPr>
          <w:rFonts w:ascii="仿宋_GB2312" w:eastAsia="仿宋_GB2312" w:hint="eastAsia"/>
          <w:b/>
          <w:bCs/>
          <w:sz w:val="28"/>
          <w:szCs w:val="28"/>
        </w:rPr>
        <w:t>1</w:t>
      </w:r>
      <w:r>
        <w:rPr>
          <w:rFonts w:ascii="仿宋_GB2312" w:eastAsia="仿宋_GB2312"/>
          <w:b/>
          <w:bCs/>
          <w:sz w:val="28"/>
          <w:szCs w:val="28"/>
        </w:rPr>
        <w:t>.</w:t>
      </w:r>
      <w:r>
        <w:rPr>
          <w:rFonts w:ascii="仿宋_GB2312" w:eastAsia="仿宋_GB2312" w:hint="eastAsia"/>
          <w:b/>
          <w:bCs/>
          <w:sz w:val="28"/>
          <w:szCs w:val="28"/>
        </w:rPr>
        <w:t>“青振京郊”乡村振兴专项赛：</w:t>
      </w:r>
      <w:r>
        <w:rPr>
          <w:rFonts w:ascii="仿宋_GB2312" w:eastAsia="仿宋_GB2312" w:hint="eastAsia"/>
          <w:sz w:val="28"/>
          <w:szCs w:val="28"/>
        </w:rPr>
        <w:t>落实市委“百村示范、千村振兴”工程部署，为解决北京“三农”发展的实际问题，聚焦城乡统筹、融合发展，结合科技强农、绿色发展。</w:t>
      </w:r>
    </w:p>
    <w:p w14:paraId="0E1385A3" w14:textId="77777777" w:rsidR="00094C1D" w:rsidRDefault="00000000">
      <w:pPr>
        <w:adjustRightInd w:val="0"/>
        <w:snapToGrid w:val="0"/>
        <w:spacing w:line="360" w:lineRule="auto"/>
        <w:ind w:firstLineChars="200" w:firstLine="562"/>
        <w:rPr>
          <w:rFonts w:ascii="仿宋_GB2312" w:eastAsia="仿宋_GB2312"/>
          <w:sz w:val="28"/>
          <w:szCs w:val="28"/>
        </w:rPr>
      </w:pPr>
      <w:r>
        <w:rPr>
          <w:rFonts w:ascii="仿宋_GB2312" w:eastAsia="仿宋_GB2312"/>
          <w:b/>
          <w:bCs/>
          <w:sz w:val="28"/>
          <w:szCs w:val="28"/>
        </w:rPr>
        <w:t>2.</w:t>
      </w:r>
      <w:r>
        <w:rPr>
          <w:rFonts w:ascii="仿宋_GB2312" w:eastAsia="仿宋_GB2312" w:hint="eastAsia"/>
          <w:b/>
          <w:bCs/>
          <w:sz w:val="28"/>
          <w:szCs w:val="28"/>
        </w:rPr>
        <w:t>“青协发展”京津冀区域协同发展专项赛：</w:t>
      </w:r>
      <w:r>
        <w:rPr>
          <w:rFonts w:ascii="仿宋_GB2312" w:eastAsia="仿宋_GB2312" w:hint="eastAsia"/>
          <w:sz w:val="28"/>
          <w:szCs w:val="28"/>
        </w:rPr>
        <w:t>围绕京津冀智慧城市治理、一体化交通网络、生态环境建设、产业协同发展等重点领域，结合疏解北京非首都功能、推动基本公共服务共建共享等主题。</w:t>
      </w:r>
    </w:p>
    <w:p w14:paraId="1DFA877F" w14:textId="77777777" w:rsidR="00094C1D" w:rsidRDefault="00000000">
      <w:pPr>
        <w:adjustRightInd w:val="0"/>
        <w:snapToGrid w:val="0"/>
        <w:spacing w:line="360" w:lineRule="auto"/>
        <w:ind w:firstLineChars="200" w:firstLine="562"/>
        <w:rPr>
          <w:rFonts w:ascii="仿宋_GB2312" w:eastAsia="仿宋_GB2312"/>
          <w:sz w:val="28"/>
          <w:szCs w:val="28"/>
        </w:rPr>
      </w:pPr>
      <w:r>
        <w:rPr>
          <w:rFonts w:ascii="仿宋_GB2312" w:eastAsia="仿宋_GB2312" w:hint="eastAsia"/>
          <w:b/>
          <w:bCs/>
          <w:sz w:val="28"/>
          <w:szCs w:val="28"/>
        </w:rPr>
        <w:t>3</w:t>
      </w:r>
      <w:r>
        <w:rPr>
          <w:rFonts w:ascii="仿宋_GB2312" w:eastAsia="仿宋_GB2312"/>
          <w:b/>
          <w:bCs/>
          <w:sz w:val="28"/>
          <w:szCs w:val="28"/>
        </w:rPr>
        <w:t>.</w:t>
      </w:r>
      <w:r>
        <w:rPr>
          <w:rFonts w:ascii="仿宋_GB2312" w:eastAsia="仿宋_GB2312" w:hint="eastAsia"/>
          <w:b/>
          <w:bCs/>
          <w:sz w:val="28"/>
          <w:szCs w:val="28"/>
        </w:rPr>
        <w:t>“青智未来”新质生产力专项赛：</w:t>
      </w:r>
      <w:r>
        <w:rPr>
          <w:rFonts w:ascii="仿宋_GB2312" w:eastAsia="仿宋_GB2312" w:hint="eastAsia"/>
          <w:sz w:val="28"/>
          <w:szCs w:val="28"/>
        </w:rPr>
        <w:t>围绕新能源、新材料、先进制造、人工智能等战略性新兴产业，面向我国经济高质量发展、民生改善等重点领域的迫切需要，聚焦解决“卡脖子”技术难题和推动“高精尖”产业发展。</w:t>
      </w:r>
    </w:p>
    <w:p w14:paraId="2F2CDF57" w14:textId="77777777" w:rsidR="00094C1D" w:rsidRDefault="00000000">
      <w:pPr>
        <w:adjustRightInd w:val="0"/>
        <w:snapToGrid w:val="0"/>
        <w:spacing w:line="360" w:lineRule="auto"/>
        <w:ind w:firstLineChars="200" w:firstLine="562"/>
        <w:rPr>
          <w:rFonts w:ascii="仿宋_GB2312" w:eastAsia="仿宋_GB2312"/>
          <w:sz w:val="28"/>
          <w:szCs w:val="28"/>
        </w:rPr>
      </w:pPr>
      <w:r>
        <w:rPr>
          <w:rFonts w:ascii="仿宋_GB2312" w:eastAsia="仿宋_GB2312" w:hint="eastAsia"/>
          <w:b/>
          <w:bCs/>
          <w:sz w:val="28"/>
          <w:szCs w:val="28"/>
        </w:rPr>
        <w:lastRenderedPageBreak/>
        <w:t>4</w:t>
      </w:r>
      <w:r>
        <w:rPr>
          <w:rFonts w:ascii="仿宋_GB2312" w:eastAsia="仿宋_GB2312"/>
          <w:b/>
          <w:bCs/>
          <w:sz w:val="28"/>
          <w:szCs w:val="28"/>
        </w:rPr>
        <w:t>.</w:t>
      </w:r>
      <w:r>
        <w:rPr>
          <w:rFonts w:ascii="仿宋_GB2312" w:eastAsia="仿宋_GB2312" w:hint="eastAsia"/>
          <w:b/>
          <w:bCs/>
          <w:sz w:val="28"/>
          <w:szCs w:val="28"/>
        </w:rPr>
        <w:t>“青绘京彩”文旅创意专项赛：</w:t>
      </w:r>
      <w:r>
        <w:rPr>
          <w:rFonts w:ascii="仿宋_GB2312" w:eastAsia="仿宋_GB2312" w:hint="eastAsia"/>
          <w:sz w:val="28"/>
          <w:szCs w:val="28"/>
        </w:rPr>
        <w:t>立足激发文化与旅游产业创新创造活力，推进文化自信自强，鼓励首都学子根据发榜单位提出的需求，深入挖掘文化、旅游资源与价值，运用现代设计理念和科技手段，设计开发文化创意类产品或针对旅游产业发展提出具有可行性的创业计划方案。</w:t>
      </w:r>
    </w:p>
    <w:p w14:paraId="6780DC07" w14:textId="77777777" w:rsidR="00094C1D" w:rsidRDefault="00000000">
      <w:pPr>
        <w:adjustRightInd w:val="0"/>
        <w:snapToGrid w:val="0"/>
        <w:spacing w:line="360" w:lineRule="auto"/>
        <w:ind w:firstLineChars="200" w:firstLine="560"/>
        <w:rPr>
          <w:rFonts w:ascii="黑体" w:eastAsia="黑体" w:hAnsi="黑体"/>
          <w:sz w:val="28"/>
          <w:szCs w:val="28"/>
        </w:rPr>
      </w:pPr>
      <w:r>
        <w:rPr>
          <w:rFonts w:ascii="黑体" w:eastAsia="黑体" w:hAnsi="黑体" w:hint="eastAsia"/>
          <w:sz w:val="28"/>
          <w:szCs w:val="28"/>
        </w:rPr>
        <w:t>三、参赛对象</w:t>
      </w:r>
    </w:p>
    <w:p w14:paraId="5585E710" w14:textId="77777777" w:rsidR="00094C1D" w:rsidRDefault="00000000">
      <w:pPr>
        <w:adjustRightInd w:val="0"/>
        <w:snapToGrid w:val="0"/>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2024年6月1日以前正式注册的全日制非成人教育的各类普通高等学校在校专科生、本科生、硕士研究生（不含在职研究生）可参加。硕博连读生、直接攻读博士生前两年可以按硕士研究生学历申报作品；本硕博连读生，按照四年、二年分别对应本、硕申报。博士研究生仅可作为项目团队成员参赛（不作项目负责人）、且人数不超过团队成员数量的30%。</w:t>
      </w:r>
    </w:p>
    <w:p w14:paraId="0CFE2795" w14:textId="77777777" w:rsidR="00094C1D" w:rsidRDefault="00000000">
      <w:pPr>
        <w:adjustRightInd w:val="0"/>
        <w:snapToGrid w:val="0"/>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参赛对象以个人或团队形式参赛均可，每个团队不超过10人，指导教师不超过3名，每个学校选送参加专项赛的作品不受限制，可以跨专业、跨校、跨地域组队，各成员须事先协商明确项目的申报单位（每件作品仅由1所高校推报）。</w:t>
      </w:r>
      <w:r>
        <w:rPr>
          <w:rFonts w:ascii="仿宋_GB2312" w:eastAsia="仿宋_GB2312" w:hAnsi="仿宋_GB2312" w:cs="仿宋_GB2312" w:hint="eastAsia"/>
          <w:b/>
          <w:sz w:val="28"/>
          <w:szCs w:val="28"/>
        </w:rPr>
        <w:t>网站填写的成员信息顺序即为证书成员顺序。</w:t>
      </w:r>
    </w:p>
    <w:p w14:paraId="0D413FA5" w14:textId="77777777" w:rsidR="00094C1D" w:rsidRDefault="00000000">
      <w:pPr>
        <w:adjustRightInd w:val="0"/>
        <w:snapToGrid w:val="0"/>
        <w:spacing w:line="360" w:lineRule="auto"/>
        <w:ind w:firstLine="570"/>
        <w:rPr>
          <w:rFonts w:ascii="黑体" w:eastAsia="黑体" w:hAnsi="黑体"/>
          <w:sz w:val="28"/>
          <w:szCs w:val="28"/>
        </w:rPr>
      </w:pPr>
      <w:r>
        <w:rPr>
          <w:rFonts w:ascii="黑体" w:eastAsia="黑体" w:hAnsi="黑体" w:hint="eastAsia"/>
          <w:sz w:val="28"/>
          <w:szCs w:val="28"/>
        </w:rPr>
        <w:t>四、赛事进度安排</w:t>
      </w:r>
    </w:p>
    <w:p w14:paraId="1B335F7B" w14:textId="77777777" w:rsidR="00094C1D" w:rsidRDefault="00000000">
      <w:pPr>
        <w:pStyle w:val="a3"/>
        <w:adjustRightInd w:val="0"/>
        <w:snapToGrid w:val="0"/>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目前已面向各级政府、企事业单位、行业协会等广泛征集选题，并择优确定了比赛榜单。</w:t>
      </w:r>
    </w:p>
    <w:p w14:paraId="1CE2B08D" w14:textId="77777777" w:rsidR="00094C1D" w:rsidRDefault="00000000">
      <w:pPr>
        <w:pStyle w:val="a3"/>
        <w:adjustRightInd w:val="0"/>
        <w:snapToGrid w:val="0"/>
        <w:spacing w:line="360" w:lineRule="auto"/>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1.项目报名及重点项目培育（4月21日前）</w:t>
      </w:r>
    </w:p>
    <w:p w14:paraId="3F9BD3E9" w14:textId="77777777" w:rsidR="00094C1D" w:rsidRDefault="00000000">
      <w:pPr>
        <w:pStyle w:val="a3"/>
        <w:adjustRightInd w:val="0"/>
        <w:snapToGrid w:val="0"/>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参赛团队根据榜单内容，联系发榜单位了解具体需求，根据需求开展项目研究和实践。</w:t>
      </w:r>
      <w:r>
        <w:rPr>
          <w:rFonts w:ascii="仿宋_GB2312" w:eastAsia="仿宋_GB2312" w:hAnsi="仿宋_GB2312" w:cs="仿宋_GB2312" w:hint="eastAsia"/>
          <w:b/>
          <w:bCs/>
          <w:sz w:val="28"/>
          <w:szCs w:val="28"/>
        </w:rPr>
        <w:t>参赛团队须于4月21日前在挑战杯首都赛网站（bj.tiaozhanbei.net）完成初步的信息填报，如团队成员、项目名称，便于学校了解学生参赛情况，同时建群通知竞赛事宜。有成果的团队可以在4月21日前将阶段性成果上传至网站，学校从中选出重点项目进行培育。</w:t>
      </w:r>
      <w:r>
        <w:rPr>
          <w:rFonts w:ascii="仿宋_GB2312" w:eastAsia="仿宋_GB2312" w:hAnsi="仿宋_GB2312" w:cs="仿宋_GB2312" w:hint="eastAsia"/>
          <w:sz w:val="28"/>
          <w:szCs w:val="28"/>
        </w:rPr>
        <w:t>在网站填报信息和材料时，只需要点击“保存”，不需要“提交”。4月21日之后，参赛团队依然可以对团队成员信息和参赛材料进行修改。</w:t>
      </w:r>
    </w:p>
    <w:p w14:paraId="581D5E72" w14:textId="569542CC" w:rsidR="00094C1D" w:rsidRDefault="00000000">
      <w:pPr>
        <w:pStyle w:val="a3"/>
        <w:adjustRightInd w:val="0"/>
        <w:snapToGrid w:val="0"/>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参赛材料</w:t>
      </w:r>
      <w:r w:rsidR="0001753D">
        <w:rPr>
          <w:rFonts w:ascii="仿宋_GB2312" w:eastAsia="仿宋_GB2312" w:hAnsi="仿宋_GB2312" w:cs="仿宋_GB2312" w:hint="eastAsia"/>
          <w:sz w:val="28"/>
          <w:szCs w:val="28"/>
        </w:rPr>
        <w:t>要求</w:t>
      </w:r>
      <w:r w:rsidR="00B6671A">
        <w:rPr>
          <w:rFonts w:ascii="仿宋_GB2312" w:eastAsia="仿宋_GB2312" w:hAnsi="仿宋_GB2312" w:cs="仿宋_GB2312" w:hint="eastAsia"/>
          <w:sz w:val="28"/>
          <w:szCs w:val="28"/>
        </w:rPr>
        <w:t>可查阅榜单中每个具体选题内容</w:t>
      </w:r>
      <w:r w:rsidR="0001753D">
        <w:rPr>
          <w:rFonts w:ascii="仿宋_GB2312" w:eastAsia="仿宋_GB2312" w:hAnsi="仿宋_GB2312" w:cs="仿宋_GB2312" w:hint="eastAsia"/>
          <w:sz w:val="28"/>
          <w:szCs w:val="28"/>
        </w:rPr>
        <w:t>的</w:t>
      </w:r>
      <w:r w:rsidR="00B6671A">
        <w:rPr>
          <w:rFonts w:ascii="仿宋_GB2312" w:eastAsia="仿宋_GB2312" w:hAnsi="仿宋_GB2312" w:cs="仿宋_GB2312" w:hint="eastAsia"/>
          <w:sz w:val="28"/>
          <w:szCs w:val="28"/>
        </w:rPr>
        <w:t>“作品要求”部分，建议</w:t>
      </w:r>
      <w:r w:rsidR="0001753D">
        <w:rPr>
          <w:rFonts w:ascii="仿宋_GB2312" w:eastAsia="仿宋_GB2312" w:hAnsi="仿宋_GB2312" w:cs="仿宋_GB2312" w:hint="eastAsia"/>
          <w:sz w:val="28"/>
          <w:szCs w:val="28"/>
        </w:rPr>
        <w:t>在“作品要求”的基础上同时</w:t>
      </w:r>
      <w:r w:rsidR="00B6671A">
        <w:rPr>
          <w:rFonts w:ascii="仿宋_GB2312" w:eastAsia="仿宋_GB2312" w:hAnsi="仿宋_GB2312" w:cs="仿宋_GB2312" w:hint="eastAsia"/>
          <w:sz w:val="28"/>
          <w:szCs w:val="28"/>
        </w:rPr>
        <w:t>准备</w:t>
      </w:r>
      <w:r>
        <w:rPr>
          <w:rFonts w:ascii="仿宋_GB2312" w:eastAsia="仿宋_GB2312" w:hAnsi="仿宋_GB2312" w:cs="仿宋_GB2312" w:hint="eastAsia"/>
          <w:sz w:val="28"/>
          <w:szCs w:val="28"/>
        </w:rPr>
        <w:t>PPT版</w:t>
      </w:r>
      <w:r w:rsidR="00B6671A">
        <w:rPr>
          <w:rFonts w:ascii="仿宋_GB2312" w:eastAsia="仿宋_GB2312" w:hAnsi="仿宋_GB2312" w:cs="仿宋_GB2312" w:hint="eastAsia"/>
          <w:sz w:val="28"/>
          <w:szCs w:val="28"/>
        </w:rPr>
        <w:t>展示材料</w:t>
      </w:r>
      <w:r>
        <w:rPr>
          <w:rFonts w:ascii="仿宋_GB2312" w:eastAsia="仿宋_GB2312" w:hAnsi="仿宋_GB2312" w:cs="仿宋_GB2312" w:hint="eastAsia"/>
          <w:sz w:val="28"/>
          <w:szCs w:val="28"/>
        </w:rPr>
        <w:t>和word版计划书</w:t>
      </w:r>
      <w:r w:rsidR="00B6671A">
        <w:rPr>
          <w:rFonts w:ascii="仿宋_GB2312" w:eastAsia="仿宋_GB2312" w:hAnsi="仿宋_GB2312" w:cs="仿宋_GB2312" w:hint="eastAsia"/>
          <w:sz w:val="28"/>
          <w:szCs w:val="28"/>
        </w:rPr>
        <w:t>（或详细的</w:t>
      </w:r>
      <w:r w:rsidR="001E404B">
        <w:rPr>
          <w:rFonts w:ascii="仿宋_GB2312" w:eastAsia="仿宋_GB2312" w:hAnsi="仿宋_GB2312" w:cs="仿宋_GB2312" w:hint="eastAsia"/>
          <w:sz w:val="28"/>
          <w:szCs w:val="28"/>
        </w:rPr>
        <w:t>项目方案及</w:t>
      </w:r>
      <w:r w:rsidR="00B6671A">
        <w:rPr>
          <w:rFonts w:ascii="仿宋_GB2312" w:eastAsia="仿宋_GB2312" w:hAnsi="仿宋_GB2312" w:cs="仿宋_GB2312" w:hint="eastAsia"/>
          <w:sz w:val="28"/>
          <w:szCs w:val="28"/>
        </w:rPr>
        <w:t>调研报告）</w:t>
      </w:r>
      <w:r w:rsidR="00567FA6">
        <w:rPr>
          <w:rFonts w:ascii="仿宋_GB2312" w:eastAsia="仿宋_GB2312" w:hAnsi="仿宋_GB2312" w:cs="仿宋_GB2312" w:hint="eastAsia"/>
          <w:sz w:val="28"/>
          <w:szCs w:val="28"/>
        </w:rPr>
        <w:t>。</w:t>
      </w:r>
      <w:r w:rsidR="00833DC1">
        <w:rPr>
          <w:rFonts w:ascii="仿宋_GB2312" w:eastAsia="仿宋_GB2312" w:hAnsi="仿宋_GB2312" w:cs="仿宋_GB2312" w:hint="eastAsia"/>
          <w:sz w:val="28"/>
          <w:szCs w:val="28"/>
        </w:rPr>
        <w:t>根据网站</w:t>
      </w:r>
      <w:r w:rsidR="008F0BA7">
        <w:rPr>
          <w:rFonts w:ascii="仿宋_GB2312" w:eastAsia="仿宋_GB2312" w:hAnsi="仿宋_GB2312" w:cs="仿宋_GB2312" w:hint="eastAsia"/>
          <w:sz w:val="28"/>
          <w:szCs w:val="28"/>
        </w:rPr>
        <w:t>报名时对材料提交</w:t>
      </w:r>
      <w:r w:rsidR="00833DC1">
        <w:rPr>
          <w:rFonts w:ascii="仿宋_GB2312" w:eastAsia="仿宋_GB2312" w:hAnsi="仿宋_GB2312" w:cs="仿宋_GB2312" w:hint="eastAsia"/>
          <w:sz w:val="28"/>
          <w:szCs w:val="28"/>
        </w:rPr>
        <w:t>的要求，</w:t>
      </w:r>
      <w:r w:rsidR="00E87C5F">
        <w:rPr>
          <w:rFonts w:ascii="仿宋_GB2312" w:eastAsia="仿宋_GB2312" w:hAnsi="仿宋_GB2312" w:cs="仿宋_GB2312" w:hint="eastAsia"/>
          <w:sz w:val="28"/>
          <w:szCs w:val="28"/>
        </w:rPr>
        <w:t>可以</w:t>
      </w:r>
      <w:r w:rsidR="00171E5F">
        <w:rPr>
          <w:rFonts w:ascii="仿宋_GB2312" w:eastAsia="仿宋_GB2312" w:hAnsi="仿宋_GB2312" w:cs="仿宋_GB2312" w:hint="eastAsia"/>
          <w:sz w:val="28"/>
          <w:szCs w:val="28"/>
        </w:rPr>
        <w:t>考虑</w:t>
      </w:r>
      <w:r w:rsidR="00100E7B">
        <w:rPr>
          <w:rFonts w:ascii="仿宋_GB2312" w:eastAsia="仿宋_GB2312" w:hAnsi="仿宋_GB2312" w:cs="仿宋_GB2312" w:hint="eastAsia"/>
          <w:sz w:val="28"/>
          <w:szCs w:val="28"/>
        </w:rPr>
        <w:t>将PPT和word合并为1个PDF上传至报名网站</w:t>
      </w:r>
      <w:r w:rsidR="002025BD">
        <w:rPr>
          <w:rFonts w:ascii="仿宋_GB2312" w:eastAsia="仿宋_GB2312" w:hAnsi="仿宋_GB2312" w:cs="仿宋_GB2312" w:hint="eastAsia"/>
          <w:sz w:val="28"/>
          <w:szCs w:val="28"/>
        </w:rPr>
        <w:t>。即便选题单位未要求准备PPT版展示材料，也建议参赛团队制作并上传至报名网站。网站报名时</w:t>
      </w:r>
      <w:r w:rsidR="00100E7B">
        <w:rPr>
          <w:rFonts w:ascii="仿宋_GB2312" w:eastAsia="仿宋_GB2312" w:hAnsi="仿宋_GB2312" w:cs="仿宋_GB2312" w:hint="eastAsia"/>
          <w:sz w:val="28"/>
          <w:szCs w:val="28"/>
        </w:rPr>
        <w:t>视频为可选项</w:t>
      </w:r>
      <w:r w:rsidR="002025BD">
        <w:rPr>
          <w:rFonts w:ascii="仿宋_GB2312" w:eastAsia="仿宋_GB2312" w:hAnsi="仿宋_GB2312" w:cs="仿宋_GB2312" w:hint="eastAsia"/>
          <w:sz w:val="28"/>
          <w:szCs w:val="28"/>
        </w:rPr>
        <w:t>，</w:t>
      </w:r>
      <w:r w:rsidR="00B176A3">
        <w:rPr>
          <w:rFonts w:ascii="仿宋_GB2312" w:eastAsia="仿宋_GB2312" w:hAnsi="仿宋_GB2312" w:cs="仿宋_GB2312" w:hint="eastAsia"/>
          <w:sz w:val="28"/>
          <w:szCs w:val="28"/>
        </w:rPr>
        <w:t>首都赛</w:t>
      </w:r>
      <w:r w:rsidR="00100E7B">
        <w:rPr>
          <w:rFonts w:ascii="仿宋_GB2312" w:eastAsia="仿宋_GB2312" w:hAnsi="仿宋_GB2312" w:cs="仿宋_GB2312" w:hint="eastAsia"/>
          <w:sz w:val="28"/>
          <w:szCs w:val="28"/>
        </w:rPr>
        <w:t>网站将于四月中旬上线比赛入口</w:t>
      </w:r>
      <w:r>
        <w:rPr>
          <w:rFonts w:ascii="仿宋_GB2312" w:eastAsia="仿宋_GB2312" w:hAnsi="仿宋_GB2312" w:cs="仿宋_GB2312" w:hint="eastAsia"/>
          <w:sz w:val="28"/>
          <w:szCs w:val="28"/>
        </w:rPr>
        <w:t>。</w:t>
      </w:r>
      <w:r>
        <w:rPr>
          <w:rFonts w:ascii="仿宋_GB2312" w:eastAsia="仿宋_GB2312" w:hAnsi="仿宋_GB2312" w:cs="仿宋_GB2312" w:hint="eastAsia"/>
          <w:b/>
          <w:bCs/>
          <w:sz w:val="28"/>
          <w:szCs w:val="28"/>
        </w:rPr>
        <w:t>所有作品需做好匿名处理工作，保证作品和附加材料中不能出现如作者姓名、指导教师姓名、所在学校名称及相关标志性景色、logo等信息。请有意向参赛的同学务必进入竞赛信息通知群，便于知晓后续事宜。</w:t>
      </w:r>
    </w:p>
    <w:p w14:paraId="79BD1C38" w14:textId="77777777" w:rsidR="00094C1D" w:rsidRDefault="00000000">
      <w:pPr>
        <w:pStyle w:val="a3"/>
        <w:adjustRightInd w:val="0"/>
        <w:snapToGrid w:val="0"/>
        <w:spacing w:line="360" w:lineRule="auto"/>
        <w:ind w:firstLineChars="200" w:firstLine="562"/>
        <w:rPr>
          <w:rFonts w:ascii="仿宋_GB2312" w:eastAsia="仿宋_GB2312"/>
          <w:b/>
          <w:bCs/>
          <w:sz w:val="28"/>
          <w:szCs w:val="28"/>
        </w:rPr>
      </w:pPr>
      <w:r>
        <w:rPr>
          <w:rFonts w:ascii="仿宋_GB2312" w:eastAsia="仿宋_GB2312" w:hint="eastAsia"/>
          <w:b/>
          <w:bCs/>
          <w:sz w:val="28"/>
          <w:szCs w:val="28"/>
        </w:rPr>
        <w:t>2</w:t>
      </w:r>
      <w:r>
        <w:rPr>
          <w:rFonts w:ascii="仿宋_GB2312" w:eastAsia="仿宋_GB2312"/>
          <w:b/>
          <w:bCs/>
          <w:sz w:val="28"/>
          <w:szCs w:val="28"/>
        </w:rPr>
        <w:t>.</w:t>
      </w:r>
      <w:r>
        <w:rPr>
          <w:rFonts w:ascii="仿宋_GB2312" w:eastAsia="仿宋_GB2312" w:hint="eastAsia"/>
          <w:b/>
          <w:bCs/>
          <w:sz w:val="28"/>
          <w:szCs w:val="28"/>
        </w:rPr>
        <w:t>作品正式提交（5月5日前）</w:t>
      </w:r>
    </w:p>
    <w:p w14:paraId="66F08441" w14:textId="77777777" w:rsidR="00094C1D" w:rsidRDefault="00000000">
      <w:pPr>
        <w:pStyle w:val="a3"/>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参赛团队于5月5日晚24点前在指定的首都赛网站完成最终信息填报和最终版材料提交。“揭榜挂帅”专项赛没有校内遴选，报名后通过参赛资格审核的可以直接参加首都赛。</w:t>
      </w:r>
    </w:p>
    <w:p w14:paraId="340EB1D1" w14:textId="77777777" w:rsidR="00094C1D" w:rsidRDefault="00000000">
      <w:pPr>
        <w:pStyle w:val="a3"/>
        <w:adjustRightInd w:val="0"/>
        <w:snapToGrid w:val="0"/>
        <w:spacing w:line="360" w:lineRule="auto"/>
        <w:ind w:firstLineChars="200" w:firstLine="562"/>
        <w:rPr>
          <w:rFonts w:ascii="仿宋_GB2312" w:eastAsia="仿宋_GB2312"/>
          <w:b/>
          <w:bCs/>
          <w:sz w:val="28"/>
          <w:szCs w:val="28"/>
        </w:rPr>
      </w:pPr>
      <w:r>
        <w:rPr>
          <w:rFonts w:ascii="仿宋_GB2312" w:eastAsia="仿宋_GB2312" w:hint="eastAsia"/>
          <w:b/>
          <w:bCs/>
          <w:sz w:val="28"/>
          <w:szCs w:val="28"/>
        </w:rPr>
        <w:t>3</w:t>
      </w:r>
      <w:r>
        <w:rPr>
          <w:rFonts w:ascii="仿宋_GB2312" w:eastAsia="仿宋_GB2312"/>
          <w:b/>
          <w:bCs/>
          <w:sz w:val="28"/>
          <w:szCs w:val="28"/>
        </w:rPr>
        <w:t>.</w:t>
      </w:r>
      <w:r>
        <w:rPr>
          <w:rFonts w:ascii="仿宋_GB2312" w:eastAsia="仿宋_GB2312" w:hint="eastAsia"/>
          <w:b/>
          <w:bCs/>
          <w:sz w:val="28"/>
          <w:szCs w:val="28"/>
        </w:rPr>
        <w:t>评榜</w:t>
      </w:r>
    </w:p>
    <w:p w14:paraId="32C87099" w14:textId="77777777" w:rsidR="00094C1D" w:rsidRDefault="00000000">
      <w:pPr>
        <w:pStyle w:val="a3"/>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5月中旬—5月下旬，组委会组织相关领域专家和出题方共同开展评选，评选出本届竞赛铜奖和银奖，并公布入围终评答辩的作品名单。</w:t>
      </w:r>
    </w:p>
    <w:p w14:paraId="4E9476F9" w14:textId="77777777" w:rsidR="00094C1D" w:rsidRDefault="00000000">
      <w:pPr>
        <w:pStyle w:val="a3"/>
        <w:adjustRightInd w:val="0"/>
        <w:snapToGrid w:val="0"/>
        <w:spacing w:line="360" w:lineRule="auto"/>
        <w:ind w:firstLineChars="200" w:firstLine="562"/>
        <w:rPr>
          <w:rFonts w:ascii="仿宋_GB2312" w:eastAsia="仿宋_GB2312"/>
          <w:b/>
          <w:bCs/>
          <w:sz w:val="28"/>
          <w:szCs w:val="28"/>
        </w:rPr>
      </w:pPr>
      <w:r>
        <w:rPr>
          <w:rFonts w:ascii="仿宋_GB2312" w:eastAsia="仿宋_GB2312" w:hint="eastAsia"/>
          <w:b/>
          <w:bCs/>
          <w:sz w:val="28"/>
          <w:szCs w:val="28"/>
        </w:rPr>
        <w:t>4</w:t>
      </w:r>
      <w:r>
        <w:rPr>
          <w:rFonts w:ascii="仿宋_GB2312" w:eastAsia="仿宋_GB2312"/>
          <w:b/>
          <w:bCs/>
          <w:sz w:val="28"/>
          <w:szCs w:val="28"/>
        </w:rPr>
        <w:t>.</w:t>
      </w:r>
      <w:r>
        <w:rPr>
          <w:rFonts w:ascii="仿宋_GB2312" w:eastAsia="仿宋_GB2312" w:hint="eastAsia"/>
          <w:b/>
          <w:bCs/>
          <w:sz w:val="28"/>
          <w:szCs w:val="28"/>
        </w:rPr>
        <w:t>挂帅</w:t>
      </w:r>
    </w:p>
    <w:p w14:paraId="30A4FCAF" w14:textId="77777777" w:rsidR="00094C1D" w:rsidRDefault="00000000">
      <w:pPr>
        <w:adjustRightInd w:val="0"/>
        <w:snapToGrid w:val="0"/>
        <w:spacing w:line="360" w:lineRule="auto"/>
        <w:ind w:firstLineChars="200" w:firstLine="560"/>
        <w:rPr>
          <w:rFonts w:ascii="仿宋_GB2312" w:eastAsia="仿宋_GB2312"/>
          <w:bCs/>
          <w:sz w:val="28"/>
          <w:szCs w:val="28"/>
        </w:rPr>
      </w:pPr>
      <w:r>
        <w:rPr>
          <w:rFonts w:ascii="仿宋_GB2312" w:eastAsia="仿宋_GB2312" w:hint="eastAsia"/>
          <w:sz w:val="28"/>
          <w:szCs w:val="28"/>
        </w:rPr>
        <w:t>5月下旬—6月上旬，组织专家评审委员会通过线下现场答辩，评选出金奖作品。在金奖团队中，由出题方选出一个“擂主”团队进行签约挂帅，开展后期落地孵化，在“竞榜书”和出题方要求的基础上解决实际问题。</w:t>
      </w:r>
    </w:p>
    <w:p w14:paraId="447E9154" w14:textId="77777777" w:rsidR="00094C1D" w:rsidRDefault="00000000">
      <w:pPr>
        <w:adjustRightInd w:val="0"/>
        <w:snapToGrid w:val="0"/>
        <w:spacing w:line="360" w:lineRule="auto"/>
        <w:ind w:firstLineChars="200" w:firstLine="560"/>
        <w:rPr>
          <w:rFonts w:ascii="黑体" w:eastAsia="黑体" w:hAnsi="黑体"/>
          <w:sz w:val="28"/>
          <w:szCs w:val="28"/>
        </w:rPr>
      </w:pPr>
      <w:r>
        <w:rPr>
          <w:rFonts w:ascii="黑体" w:eastAsia="黑体" w:hAnsi="黑体" w:hint="eastAsia"/>
          <w:sz w:val="28"/>
          <w:szCs w:val="28"/>
        </w:rPr>
        <w:t>五、奖项设置</w:t>
      </w:r>
    </w:p>
    <w:p w14:paraId="469A0F7E" w14:textId="08A133C5" w:rsidR="00094C1D" w:rsidRDefault="00312795">
      <w:pPr>
        <w:adjustRightInd w:val="0"/>
        <w:snapToGrid w:val="0"/>
        <w:spacing w:line="360" w:lineRule="auto"/>
        <w:ind w:firstLineChars="200" w:firstLine="560"/>
        <w:rPr>
          <w:rFonts w:ascii="仿宋_GB2312" w:eastAsia="仿宋_GB2312"/>
          <w:b/>
          <w:bCs/>
          <w:sz w:val="28"/>
          <w:szCs w:val="28"/>
          <w:lang w:bidi="ar"/>
        </w:rPr>
      </w:pPr>
      <w:r>
        <w:rPr>
          <w:rFonts w:ascii="仿宋_GB2312" w:eastAsia="仿宋_GB2312" w:hint="eastAsia"/>
          <w:sz w:val="28"/>
          <w:szCs w:val="28"/>
        </w:rPr>
        <w:t>“揭榜挂帅”专项赛学校</w:t>
      </w:r>
      <w:r w:rsidR="00873132">
        <w:rPr>
          <w:rFonts w:ascii="仿宋_GB2312" w:eastAsia="仿宋_GB2312" w:hint="eastAsia"/>
          <w:sz w:val="28"/>
          <w:szCs w:val="28"/>
        </w:rPr>
        <w:t>不做校内遴选</w:t>
      </w:r>
      <w:r>
        <w:rPr>
          <w:rFonts w:ascii="仿宋_GB2312" w:eastAsia="仿宋_GB2312" w:hint="eastAsia"/>
          <w:sz w:val="28"/>
          <w:szCs w:val="28"/>
        </w:rPr>
        <w:t>，</w:t>
      </w:r>
      <w:r w:rsidR="00873132">
        <w:rPr>
          <w:rFonts w:ascii="仿宋_GB2312" w:eastAsia="仿宋_GB2312" w:hint="eastAsia"/>
          <w:sz w:val="28"/>
          <w:szCs w:val="28"/>
        </w:rPr>
        <w:t>学校</w:t>
      </w:r>
      <w:r>
        <w:rPr>
          <w:rFonts w:ascii="仿宋_GB2312" w:eastAsia="仿宋_GB2312" w:hint="eastAsia"/>
          <w:sz w:val="28"/>
          <w:szCs w:val="28"/>
        </w:rPr>
        <w:t>没有</w:t>
      </w:r>
      <w:r w:rsidR="00FB4AEC">
        <w:rPr>
          <w:rFonts w:ascii="仿宋_GB2312" w:eastAsia="仿宋_GB2312" w:hint="eastAsia"/>
          <w:sz w:val="28"/>
          <w:szCs w:val="28"/>
        </w:rPr>
        <w:t>首都赛参赛</w:t>
      </w:r>
      <w:r>
        <w:rPr>
          <w:rFonts w:ascii="仿宋_GB2312" w:eastAsia="仿宋_GB2312" w:hint="eastAsia"/>
          <w:sz w:val="28"/>
          <w:szCs w:val="28"/>
        </w:rPr>
        <w:t>名额限制，报名后通过参赛资格审核的</w:t>
      </w:r>
      <w:r w:rsidR="001103BB">
        <w:rPr>
          <w:rFonts w:ascii="仿宋_GB2312" w:eastAsia="仿宋_GB2312" w:hint="eastAsia"/>
          <w:sz w:val="28"/>
          <w:szCs w:val="28"/>
        </w:rPr>
        <w:t>团队</w:t>
      </w:r>
      <w:r>
        <w:rPr>
          <w:rFonts w:ascii="仿宋_GB2312" w:eastAsia="仿宋_GB2312" w:hint="eastAsia"/>
          <w:sz w:val="28"/>
          <w:szCs w:val="28"/>
        </w:rPr>
        <w:t>均可直接参加首都赛。按首都赛相关通知，</w:t>
      </w:r>
      <w:r>
        <w:rPr>
          <w:rFonts w:ascii="仿宋_GB2312" w:eastAsia="仿宋_GB2312" w:hint="eastAsia"/>
          <w:bCs/>
          <w:sz w:val="28"/>
          <w:szCs w:val="28"/>
        </w:rPr>
        <w:t>每个选题</w:t>
      </w:r>
      <w:r>
        <w:rPr>
          <w:rFonts w:ascii="仿宋_GB2312" w:eastAsia="仿宋_GB2312" w:hint="eastAsia"/>
          <w:sz w:val="28"/>
          <w:szCs w:val="28"/>
          <w:lang w:bidi="ar"/>
        </w:rPr>
        <w:t>设“挂帅”项目1个，金奖、银奖、铜奖按照项目总数的10%、15%、25%比例评选产生，其余为淘汰作品。铜奖项目通过网络评审产</w:t>
      </w:r>
      <w:r>
        <w:rPr>
          <w:rFonts w:ascii="仿宋_GB2312" w:eastAsia="仿宋_GB2312" w:hint="eastAsia"/>
          <w:sz w:val="28"/>
          <w:szCs w:val="28"/>
          <w:lang w:bidi="ar"/>
        </w:rPr>
        <w:lastRenderedPageBreak/>
        <w:t>生，金奖、银奖项目通过网络评审和现场终评答辩产生。</w:t>
      </w:r>
    </w:p>
    <w:p w14:paraId="1F5135A8" w14:textId="77777777" w:rsidR="00094C1D" w:rsidRDefault="00000000">
      <w:pPr>
        <w:adjustRightInd w:val="0"/>
        <w:snapToGrid w:val="0"/>
        <w:spacing w:line="360" w:lineRule="auto"/>
        <w:ind w:firstLineChars="200" w:firstLine="560"/>
        <w:rPr>
          <w:rFonts w:ascii="黑体" w:eastAsia="黑体" w:hAnsi="黑体"/>
          <w:sz w:val="28"/>
          <w:szCs w:val="28"/>
        </w:rPr>
      </w:pPr>
      <w:r>
        <w:rPr>
          <w:rFonts w:ascii="黑体" w:eastAsia="黑体" w:hAnsi="黑体" w:hint="eastAsia"/>
          <w:sz w:val="28"/>
          <w:szCs w:val="28"/>
        </w:rPr>
        <w:t>六、参赛奖励</w:t>
      </w:r>
    </w:p>
    <w:p w14:paraId="0984428E" w14:textId="77777777" w:rsidR="00094C1D" w:rsidRDefault="00000000">
      <w:pPr>
        <w:adjustRightInd w:val="0"/>
        <w:snapToGrid w:val="0"/>
        <w:spacing w:line="360" w:lineRule="auto"/>
        <w:ind w:firstLineChars="200" w:firstLine="560"/>
        <w:rPr>
          <w:rFonts w:ascii="仿宋_GB2312" w:eastAsia="仿宋_GB2312"/>
          <w:bCs/>
          <w:sz w:val="28"/>
          <w:szCs w:val="28"/>
        </w:rPr>
      </w:pPr>
      <w:r>
        <w:rPr>
          <w:rFonts w:ascii="仿宋_GB2312" w:eastAsia="仿宋_GB2312" w:hint="eastAsia"/>
          <w:bCs/>
          <w:sz w:val="28"/>
          <w:szCs w:val="28"/>
        </w:rPr>
        <w:t>对获奖的学生给予科技创新学分认定，为“揭榜挂帅”专项赛（含4个专项赛）中获得金奖、银奖的学生发放竞赛奖学金。推荐保送免试硕士研究生时，学院可参照当年本科毕业生推免工作通知、依据学院保研加分政策给予一定加分。</w:t>
      </w:r>
    </w:p>
    <w:p w14:paraId="31F9F0DE" w14:textId="77777777" w:rsidR="00094C1D" w:rsidRDefault="00000000">
      <w:pPr>
        <w:adjustRightInd w:val="0"/>
        <w:snapToGrid w:val="0"/>
        <w:spacing w:line="360" w:lineRule="auto"/>
        <w:ind w:firstLineChars="200" w:firstLine="560"/>
        <w:rPr>
          <w:rFonts w:ascii="黑体" w:eastAsia="黑体" w:hAnsi="黑体"/>
          <w:sz w:val="28"/>
          <w:szCs w:val="28"/>
        </w:rPr>
      </w:pPr>
      <w:r>
        <w:rPr>
          <w:rFonts w:ascii="黑体" w:eastAsia="黑体" w:hAnsi="黑体" w:hint="eastAsia"/>
          <w:sz w:val="28"/>
          <w:szCs w:val="28"/>
        </w:rPr>
        <w:t>七、竞赛信息通知及交流群</w:t>
      </w:r>
    </w:p>
    <w:p w14:paraId="5C9A3FBA" w14:textId="77777777" w:rsidR="00094C1D" w:rsidRDefault="00000000">
      <w:pPr>
        <w:snapToGrid w:val="0"/>
        <w:spacing w:line="360" w:lineRule="auto"/>
        <w:jc w:val="center"/>
        <w:rPr>
          <w:rFonts w:ascii="仿宋" w:eastAsia="仿宋" w:hAnsi="仿宋" w:cs="宋体"/>
          <w:color w:val="222222"/>
          <w:kern w:val="0"/>
          <w:sz w:val="28"/>
          <w:szCs w:val="28"/>
        </w:rPr>
      </w:pPr>
      <w:r>
        <w:rPr>
          <w:rFonts w:ascii="仿宋" w:eastAsia="仿宋" w:hAnsi="仿宋" w:cs="宋体"/>
          <w:noProof/>
          <w:color w:val="222222"/>
          <w:kern w:val="0"/>
          <w:sz w:val="28"/>
          <w:szCs w:val="28"/>
        </w:rPr>
        <w:drawing>
          <wp:inline distT="0" distB="0" distL="0" distR="0" wp14:anchorId="788E2CC1" wp14:editId="0157D643">
            <wp:extent cx="2519680" cy="36144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537315" cy="3638876"/>
                    </a:xfrm>
                    <a:prstGeom prst="rect">
                      <a:avLst/>
                    </a:prstGeom>
                    <a:noFill/>
                    <a:ln>
                      <a:noFill/>
                    </a:ln>
                  </pic:spPr>
                </pic:pic>
              </a:graphicData>
            </a:graphic>
          </wp:inline>
        </w:drawing>
      </w:r>
      <w:r>
        <w:rPr>
          <w:rFonts w:ascii="仿宋" w:eastAsia="仿宋" w:hAnsi="仿宋" w:cs="宋体"/>
          <w:noProof/>
          <w:color w:val="222222"/>
          <w:kern w:val="0"/>
          <w:sz w:val="28"/>
          <w:szCs w:val="28"/>
        </w:rPr>
        <w:drawing>
          <wp:inline distT="0" distB="0" distL="0" distR="0" wp14:anchorId="21C37C6B" wp14:editId="6388D190">
            <wp:extent cx="2489835" cy="357124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11209" cy="3601435"/>
                    </a:xfrm>
                    <a:prstGeom prst="rect">
                      <a:avLst/>
                    </a:prstGeom>
                    <a:noFill/>
                    <a:ln>
                      <a:noFill/>
                    </a:ln>
                  </pic:spPr>
                </pic:pic>
              </a:graphicData>
            </a:graphic>
          </wp:inline>
        </w:drawing>
      </w:r>
    </w:p>
    <w:p w14:paraId="248B9C90" w14:textId="77777777" w:rsidR="00094C1D" w:rsidRDefault="00000000">
      <w:pPr>
        <w:snapToGrid w:val="0"/>
        <w:spacing w:line="360" w:lineRule="auto"/>
        <w:jc w:val="center"/>
        <w:rPr>
          <w:rFonts w:ascii="仿宋" w:eastAsia="仿宋" w:hAnsi="仿宋" w:cs="宋体"/>
          <w:color w:val="222222"/>
          <w:kern w:val="0"/>
          <w:sz w:val="28"/>
          <w:szCs w:val="28"/>
        </w:rPr>
      </w:pPr>
      <w:r>
        <w:rPr>
          <w:rFonts w:ascii="仿宋" w:eastAsia="仿宋" w:hAnsi="仿宋" w:cs="宋体"/>
          <w:noProof/>
          <w:color w:val="222222"/>
          <w:kern w:val="0"/>
          <w:sz w:val="28"/>
          <w:szCs w:val="28"/>
        </w:rPr>
        <w:lastRenderedPageBreak/>
        <w:drawing>
          <wp:inline distT="0" distB="0" distL="0" distR="0" wp14:anchorId="12DC6B9A" wp14:editId="2D18AC7E">
            <wp:extent cx="2562225" cy="3674745"/>
            <wp:effectExtent l="0" t="0" r="952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79064" cy="3698750"/>
                    </a:xfrm>
                    <a:prstGeom prst="rect">
                      <a:avLst/>
                    </a:prstGeom>
                    <a:noFill/>
                    <a:ln>
                      <a:noFill/>
                    </a:ln>
                  </pic:spPr>
                </pic:pic>
              </a:graphicData>
            </a:graphic>
          </wp:inline>
        </w:drawing>
      </w:r>
      <w:r>
        <w:rPr>
          <w:rFonts w:ascii="仿宋" w:eastAsia="仿宋" w:hAnsi="仿宋" w:cs="宋体"/>
          <w:noProof/>
          <w:color w:val="222222"/>
          <w:kern w:val="0"/>
          <w:sz w:val="28"/>
          <w:szCs w:val="28"/>
        </w:rPr>
        <w:drawing>
          <wp:inline distT="0" distB="0" distL="0" distR="0" wp14:anchorId="269E246F" wp14:editId="1BE874D1">
            <wp:extent cx="2553335" cy="36614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74258" cy="3691857"/>
                    </a:xfrm>
                    <a:prstGeom prst="rect">
                      <a:avLst/>
                    </a:prstGeom>
                    <a:noFill/>
                    <a:ln>
                      <a:noFill/>
                    </a:ln>
                  </pic:spPr>
                </pic:pic>
              </a:graphicData>
            </a:graphic>
          </wp:inline>
        </w:drawing>
      </w:r>
    </w:p>
    <w:p w14:paraId="1B01F98F" w14:textId="77777777" w:rsidR="00094C1D" w:rsidRDefault="00094C1D">
      <w:pPr>
        <w:adjustRightInd w:val="0"/>
        <w:snapToGrid w:val="0"/>
        <w:spacing w:line="360" w:lineRule="auto"/>
        <w:jc w:val="center"/>
        <w:rPr>
          <w:rFonts w:ascii="仿宋_GB2312" w:eastAsia="仿宋_GB2312"/>
          <w:bCs/>
          <w:sz w:val="28"/>
          <w:szCs w:val="28"/>
        </w:rPr>
      </w:pPr>
    </w:p>
    <w:p w14:paraId="35CFB419" w14:textId="77777777" w:rsidR="00094C1D" w:rsidRDefault="00000000">
      <w:pPr>
        <w:snapToGrid w:val="0"/>
        <w:spacing w:line="360" w:lineRule="auto"/>
        <w:ind w:firstLineChars="200" w:firstLine="560"/>
        <w:rPr>
          <w:rFonts w:ascii="仿宋_GB2312" w:eastAsia="仿宋_GB2312" w:hAnsi="仿宋_GB2312" w:cs="仿宋_GB2312"/>
          <w:color w:val="222222"/>
          <w:kern w:val="0"/>
          <w:sz w:val="28"/>
          <w:szCs w:val="28"/>
        </w:rPr>
      </w:pPr>
      <w:r>
        <w:rPr>
          <w:rFonts w:ascii="仿宋_GB2312" w:eastAsia="仿宋_GB2312" w:hAnsi="仿宋_GB2312" w:cs="仿宋_GB2312" w:hint="eastAsia"/>
          <w:color w:val="222222"/>
          <w:kern w:val="0"/>
          <w:sz w:val="28"/>
          <w:szCs w:val="28"/>
        </w:rPr>
        <w:t>联 系 人：苏烜 宋爽</w:t>
      </w:r>
    </w:p>
    <w:p w14:paraId="7C3CF20E" w14:textId="77777777" w:rsidR="00094C1D" w:rsidRDefault="00000000">
      <w:pPr>
        <w:snapToGrid w:val="0"/>
        <w:spacing w:line="360" w:lineRule="auto"/>
        <w:ind w:firstLineChars="200" w:firstLine="560"/>
        <w:rPr>
          <w:rFonts w:ascii="仿宋_GB2312" w:eastAsia="仿宋_GB2312" w:hAnsi="仿宋_GB2312" w:cs="仿宋_GB2312"/>
          <w:color w:val="222222"/>
          <w:kern w:val="0"/>
          <w:sz w:val="28"/>
          <w:szCs w:val="28"/>
        </w:rPr>
      </w:pPr>
      <w:r>
        <w:rPr>
          <w:rFonts w:ascii="仿宋_GB2312" w:eastAsia="仿宋_GB2312" w:hAnsi="仿宋_GB2312" w:cs="仿宋_GB2312" w:hint="eastAsia"/>
          <w:color w:val="222222"/>
          <w:kern w:val="0"/>
          <w:sz w:val="28"/>
          <w:szCs w:val="28"/>
        </w:rPr>
        <w:t>联系电话：62334563</w:t>
      </w:r>
    </w:p>
    <w:p w14:paraId="491EEE29" w14:textId="77777777" w:rsidR="00094C1D" w:rsidRDefault="00094C1D">
      <w:pPr>
        <w:snapToGrid w:val="0"/>
        <w:spacing w:line="360" w:lineRule="auto"/>
        <w:ind w:firstLineChars="200" w:firstLine="560"/>
        <w:rPr>
          <w:rFonts w:ascii="仿宋_GB2312" w:eastAsia="仿宋_GB2312" w:hAnsi="仿宋_GB2312" w:cs="仿宋_GB2312"/>
          <w:color w:val="222222"/>
          <w:kern w:val="0"/>
          <w:sz w:val="28"/>
          <w:szCs w:val="28"/>
        </w:rPr>
      </w:pPr>
    </w:p>
    <w:p w14:paraId="42A3641A" w14:textId="77777777" w:rsidR="00094C1D" w:rsidRDefault="00000000">
      <w:pPr>
        <w:snapToGrid w:val="0"/>
        <w:spacing w:line="360" w:lineRule="auto"/>
        <w:ind w:firstLineChars="200" w:firstLine="560"/>
        <w:jc w:val="right"/>
        <w:rPr>
          <w:rFonts w:ascii="仿宋_GB2312" w:eastAsia="仿宋_GB2312" w:hAnsi="仿宋_GB2312" w:cs="仿宋_GB2312"/>
          <w:color w:val="222222"/>
          <w:kern w:val="0"/>
          <w:sz w:val="28"/>
          <w:szCs w:val="28"/>
        </w:rPr>
      </w:pPr>
      <w:r>
        <w:rPr>
          <w:rFonts w:ascii="仿宋_GB2312" w:eastAsia="仿宋_GB2312" w:hAnsi="仿宋_GB2312" w:cs="仿宋_GB2312" w:hint="eastAsia"/>
          <w:color w:val="222222"/>
          <w:kern w:val="0"/>
          <w:sz w:val="28"/>
          <w:szCs w:val="28"/>
        </w:rPr>
        <w:t>共青团北京科技大学委员会</w:t>
      </w:r>
    </w:p>
    <w:p w14:paraId="1143FEAF" w14:textId="77777777" w:rsidR="00094C1D" w:rsidRDefault="00000000">
      <w:pPr>
        <w:wordWrap w:val="0"/>
        <w:snapToGrid w:val="0"/>
        <w:spacing w:line="360" w:lineRule="auto"/>
        <w:ind w:firstLineChars="200" w:firstLine="560"/>
        <w:jc w:val="right"/>
        <w:rPr>
          <w:rFonts w:ascii="仿宋_GB2312" w:eastAsia="仿宋_GB2312" w:hAnsi="仿宋_GB2312" w:cs="仿宋_GB2312"/>
          <w:b/>
          <w:bCs/>
          <w:color w:val="222222"/>
          <w:kern w:val="0"/>
          <w:sz w:val="28"/>
          <w:szCs w:val="28"/>
        </w:rPr>
      </w:pPr>
      <w:r>
        <w:rPr>
          <w:rFonts w:ascii="仿宋_GB2312" w:eastAsia="仿宋_GB2312" w:hAnsi="仿宋_GB2312" w:cs="仿宋_GB2312" w:hint="eastAsia"/>
          <w:color w:val="222222"/>
          <w:kern w:val="0"/>
          <w:sz w:val="28"/>
          <w:szCs w:val="28"/>
        </w:rPr>
        <w:t>2024年4月8日</w:t>
      </w:r>
      <w:r>
        <w:rPr>
          <w:rFonts w:ascii="仿宋_GB2312" w:eastAsia="仿宋_GB2312" w:hAnsi="仿宋_GB2312" w:cs="仿宋_GB2312" w:hint="eastAsia"/>
          <w:b/>
          <w:bCs/>
          <w:color w:val="222222"/>
          <w:kern w:val="0"/>
          <w:sz w:val="28"/>
          <w:szCs w:val="28"/>
        </w:rPr>
        <w:t xml:space="preserve">    </w:t>
      </w:r>
    </w:p>
    <w:sectPr w:rsidR="00094C1D">
      <w:footerReference w:type="default" r:id="rId11"/>
      <w:pgSz w:w="11906" w:h="16838"/>
      <w:pgMar w:top="1440" w:right="1417" w:bottom="1440" w:left="141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FA52D" w14:textId="77777777" w:rsidR="008459C4" w:rsidRDefault="008459C4">
      <w:r>
        <w:separator/>
      </w:r>
    </w:p>
  </w:endnote>
  <w:endnote w:type="continuationSeparator" w:id="0">
    <w:p w14:paraId="4C4EFF00" w14:textId="77777777" w:rsidR="008459C4" w:rsidRDefault="00845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800002BF" w:usb1="184F6CF8" w:usb2="00000012" w:usb3="00000000" w:csb0="00160001" w:csb1="1203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862D2" w14:textId="77777777" w:rsidR="00094C1D" w:rsidRDefault="00000000">
    <w:pPr>
      <w:pStyle w:val="a4"/>
    </w:pPr>
    <w:r>
      <w:rPr>
        <w:noProof/>
      </w:rPr>
      <mc:AlternateContent>
        <mc:Choice Requires="wps">
          <w:drawing>
            <wp:anchor distT="0" distB="0" distL="114300" distR="114300" simplePos="0" relativeHeight="251659264" behindDoc="0" locked="0" layoutInCell="1" allowOverlap="1" wp14:anchorId="65EE387A" wp14:editId="7EF97CA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2F244C" w14:textId="77777777" w:rsidR="00094C1D" w:rsidRDefault="00000000">
                          <w:pPr>
                            <w:pStyle w:val="a4"/>
                            <w:rPr>
                              <w:rFonts w:ascii="仿宋_GB2312" w:eastAsia="仿宋_GB2312" w:hAnsi="仿宋_GB2312" w:cs="仿宋_GB2312"/>
                              <w:sz w:val="21"/>
                              <w:szCs w:val="21"/>
                            </w:rPr>
                          </w:pPr>
                          <w:r>
                            <w:rPr>
                              <w:rFonts w:ascii="仿宋_GB2312" w:eastAsia="仿宋_GB2312" w:hAnsi="仿宋_GB2312" w:cs="仿宋_GB2312" w:hint="eastAsia"/>
                              <w:sz w:val="21"/>
                              <w:szCs w:val="21"/>
                            </w:rPr>
                            <w:fldChar w:fldCharType="begin"/>
                          </w:r>
                          <w:r>
                            <w:rPr>
                              <w:rFonts w:ascii="仿宋_GB2312" w:eastAsia="仿宋_GB2312" w:hAnsi="仿宋_GB2312" w:cs="仿宋_GB2312" w:hint="eastAsia"/>
                              <w:sz w:val="21"/>
                              <w:szCs w:val="21"/>
                            </w:rPr>
                            <w:instrText xml:space="preserve"> PAGE  \* MERGEFORMAT </w:instrText>
                          </w:r>
                          <w:r>
                            <w:rPr>
                              <w:rFonts w:ascii="仿宋_GB2312" w:eastAsia="仿宋_GB2312" w:hAnsi="仿宋_GB2312" w:cs="仿宋_GB2312" w:hint="eastAsia"/>
                              <w:sz w:val="21"/>
                              <w:szCs w:val="21"/>
                            </w:rPr>
                            <w:fldChar w:fldCharType="separate"/>
                          </w:r>
                          <w:r>
                            <w:rPr>
                              <w:rFonts w:ascii="仿宋_GB2312" w:eastAsia="仿宋_GB2312" w:hAnsi="仿宋_GB2312" w:cs="仿宋_GB2312" w:hint="eastAsia"/>
                              <w:sz w:val="21"/>
                              <w:szCs w:val="21"/>
                            </w:rPr>
                            <w:t>1</w:t>
                          </w:r>
                          <w:r>
                            <w:rPr>
                              <w:rFonts w:ascii="仿宋_GB2312" w:eastAsia="仿宋_GB2312" w:hAnsi="仿宋_GB2312" w:cs="仿宋_GB2312"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5EE387A"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42F244C" w14:textId="77777777" w:rsidR="00094C1D" w:rsidRDefault="00000000">
                    <w:pPr>
                      <w:pStyle w:val="a4"/>
                      <w:rPr>
                        <w:rFonts w:ascii="仿宋_GB2312" w:eastAsia="仿宋_GB2312" w:hAnsi="仿宋_GB2312" w:cs="仿宋_GB2312"/>
                        <w:sz w:val="21"/>
                        <w:szCs w:val="21"/>
                      </w:rPr>
                    </w:pPr>
                    <w:r>
                      <w:rPr>
                        <w:rFonts w:ascii="仿宋_GB2312" w:eastAsia="仿宋_GB2312" w:hAnsi="仿宋_GB2312" w:cs="仿宋_GB2312" w:hint="eastAsia"/>
                        <w:sz w:val="21"/>
                        <w:szCs w:val="21"/>
                      </w:rPr>
                      <w:fldChar w:fldCharType="begin"/>
                    </w:r>
                    <w:r>
                      <w:rPr>
                        <w:rFonts w:ascii="仿宋_GB2312" w:eastAsia="仿宋_GB2312" w:hAnsi="仿宋_GB2312" w:cs="仿宋_GB2312" w:hint="eastAsia"/>
                        <w:sz w:val="21"/>
                        <w:szCs w:val="21"/>
                      </w:rPr>
                      <w:instrText xml:space="preserve"> PAGE  \* MERGEFORMAT </w:instrText>
                    </w:r>
                    <w:r>
                      <w:rPr>
                        <w:rFonts w:ascii="仿宋_GB2312" w:eastAsia="仿宋_GB2312" w:hAnsi="仿宋_GB2312" w:cs="仿宋_GB2312" w:hint="eastAsia"/>
                        <w:sz w:val="21"/>
                        <w:szCs w:val="21"/>
                      </w:rPr>
                      <w:fldChar w:fldCharType="separate"/>
                    </w:r>
                    <w:r>
                      <w:rPr>
                        <w:rFonts w:ascii="仿宋_GB2312" w:eastAsia="仿宋_GB2312" w:hAnsi="仿宋_GB2312" w:cs="仿宋_GB2312" w:hint="eastAsia"/>
                        <w:sz w:val="21"/>
                        <w:szCs w:val="21"/>
                      </w:rPr>
                      <w:t>1</w:t>
                    </w:r>
                    <w:r>
                      <w:rPr>
                        <w:rFonts w:ascii="仿宋_GB2312" w:eastAsia="仿宋_GB2312" w:hAnsi="仿宋_GB2312" w:cs="仿宋_GB2312" w:hint="eastAsia"/>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A349F" w14:textId="77777777" w:rsidR="008459C4" w:rsidRDefault="008459C4">
      <w:r>
        <w:separator/>
      </w:r>
    </w:p>
  </w:footnote>
  <w:footnote w:type="continuationSeparator" w:id="0">
    <w:p w14:paraId="7009503B" w14:textId="77777777" w:rsidR="008459C4" w:rsidRDefault="008459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I1MmJhMjY3MWEzMjE4MGEzOGUzZWU5Y2MxN2M1OTYifQ=="/>
  </w:docVars>
  <w:rsids>
    <w:rsidRoot w:val="1BCF4696"/>
    <w:rsid w:val="0001753D"/>
    <w:rsid w:val="00044A13"/>
    <w:rsid w:val="00094C1D"/>
    <w:rsid w:val="000A41CE"/>
    <w:rsid w:val="000B4F3F"/>
    <w:rsid w:val="000B72F5"/>
    <w:rsid w:val="000E4DB5"/>
    <w:rsid w:val="00100E7B"/>
    <w:rsid w:val="00102649"/>
    <w:rsid w:val="001103BB"/>
    <w:rsid w:val="00112EF3"/>
    <w:rsid w:val="00120289"/>
    <w:rsid w:val="001566AF"/>
    <w:rsid w:val="001572C4"/>
    <w:rsid w:val="00171E5F"/>
    <w:rsid w:val="00181884"/>
    <w:rsid w:val="001863B4"/>
    <w:rsid w:val="0019715A"/>
    <w:rsid w:val="001E404B"/>
    <w:rsid w:val="002025BD"/>
    <w:rsid w:val="00213260"/>
    <w:rsid w:val="00272F7A"/>
    <w:rsid w:val="00312795"/>
    <w:rsid w:val="003C03F3"/>
    <w:rsid w:val="0041317E"/>
    <w:rsid w:val="00417CB7"/>
    <w:rsid w:val="0048546F"/>
    <w:rsid w:val="00491B14"/>
    <w:rsid w:val="004A0CD8"/>
    <w:rsid w:val="004A254E"/>
    <w:rsid w:val="005203A9"/>
    <w:rsid w:val="0054708E"/>
    <w:rsid w:val="005659A0"/>
    <w:rsid w:val="00567FA6"/>
    <w:rsid w:val="00572793"/>
    <w:rsid w:val="00593129"/>
    <w:rsid w:val="00593CA4"/>
    <w:rsid w:val="00595CCA"/>
    <w:rsid w:val="005A2ACB"/>
    <w:rsid w:val="005D1101"/>
    <w:rsid w:val="006D41AA"/>
    <w:rsid w:val="006E02CB"/>
    <w:rsid w:val="00710274"/>
    <w:rsid w:val="00735B4E"/>
    <w:rsid w:val="00791EFB"/>
    <w:rsid w:val="008216A0"/>
    <w:rsid w:val="00833DC1"/>
    <w:rsid w:val="008427EF"/>
    <w:rsid w:val="008459C4"/>
    <w:rsid w:val="00873132"/>
    <w:rsid w:val="00894492"/>
    <w:rsid w:val="008A28CA"/>
    <w:rsid w:val="008F0BA7"/>
    <w:rsid w:val="009027BD"/>
    <w:rsid w:val="009050D5"/>
    <w:rsid w:val="00924164"/>
    <w:rsid w:val="009301E4"/>
    <w:rsid w:val="00964FB8"/>
    <w:rsid w:val="009653FD"/>
    <w:rsid w:val="009E7A9D"/>
    <w:rsid w:val="00A137FC"/>
    <w:rsid w:val="00A20E98"/>
    <w:rsid w:val="00A63EAC"/>
    <w:rsid w:val="00A77A35"/>
    <w:rsid w:val="00A822B6"/>
    <w:rsid w:val="00A9248B"/>
    <w:rsid w:val="00A979B1"/>
    <w:rsid w:val="00AA09F7"/>
    <w:rsid w:val="00AD2644"/>
    <w:rsid w:val="00AE3085"/>
    <w:rsid w:val="00AF095A"/>
    <w:rsid w:val="00B176A3"/>
    <w:rsid w:val="00B24495"/>
    <w:rsid w:val="00B6671A"/>
    <w:rsid w:val="00BB154F"/>
    <w:rsid w:val="00BB54DC"/>
    <w:rsid w:val="00C1414E"/>
    <w:rsid w:val="00C31C11"/>
    <w:rsid w:val="00CA0A5F"/>
    <w:rsid w:val="00DA248C"/>
    <w:rsid w:val="00DC44C1"/>
    <w:rsid w:val="00E02A7C"/>
    <w:rsid w:val="00E70E81"/>
    <w:rsid w:val="00E84661"/>
    <w:rsid w:val="00E87C5F"/>
    <w:rsid w:val="00F00651"/>
    <w:rsid w:val="00F27CD5"/>
    <w:rsid w:val="00F3161E"/>
    <w:rsid w:val="00F93E39"/>
    <w:rsid w:val="00FB106A"/>
    <w:rsid w:val="00FB4AEC"/>
    <w:rsid w:val="085C433A"/>
    <w:rsid w:val="0A777C01"/>
    <w:rsid w:val="129501D5"/>
    <w:rsid w:val="1BCF4696"/>
    <w:rsid w:val="1D853E6D"/>
    <w:rsid w:val="4FFF2F7F"/>
    <w:rsid w:val="59A4269C"/>
    <w:rsid w:val="6D420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611913"/>
  <w15:docId w15:val="{2E3D199E-459E-4B27-A259-044318414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autoRedefine/>
    <w:qFormat/>
    <w:pPr>
      <w:keepNext/>
      <w:keepLines/>
      <w:spacing w:line="560" w:lineRule="exact"/>
      <w:jc w:val="center"/>
      <w:outlineLvl w:val="0"/>
    </w:pPr>
    <w:rPr>
      <w:rFonts w:asciiTheme="minorHAnsi" w:eastAsia="方正小标宋简体" w:hAnsiTheme="minorHAnsi"/>
      <w:kern w:val="44"/>
      <w:sz w:val="36"/>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qFormat/>
  </w:style>
  <w:style w:type="paragraph" w:styleId="a4">
    <w:name w:val="footer"/>
    <w:basedOn w:val="a"/>
    <w:link w:val="a5"/>
    <w:autoRedefine/>
    <w:uiPriority w:val="99"/>
    <w:unhideWhenUsed/>
    <w:qFormat/>
    <w:pPr>
      <w:tabs>
        <w:tab w:val="center" w:pos="4153"/>
        <w:tab w:val="right" w:pos="8306"/>
      </w:tabs>
      <w:snapToGrid w:val="0"/>
      <w:jc w:val="left"/>
    </w:pPr>
    <w:rPr>
      <w:sz w:val="18"/>
      <w:szCs w:val="18"/>
    </w:rPr>
  </w:style>
  <w:style w:type="paragraph" w:styleId="a6">
    <w:name w:val="header"/>
    <w:basedOn w:val="a"/>
    <w:link w:val="a7"/>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autoRedefine/>
    <w:uiPriority w:val="99"/>
    <w:unhideWhenUsed/>
    <w:qFormat/>
    <w:rPr>
      <w:sz w:val="24"/>
    </w:rPr>
  </w:style>
  <w:style w:type="character" w:customStyle="1" w:styleId="a7">
    <w:name w:val="页眉 字符"/>
    <w:basedOn w:val="a0"/>
    <w:link w:val="a6"/>
    <w:autoRedefine/>
    <w:uiPriority w:val="99"/>
    <w:qFormat/>
    <w:rPr>
      <w:rFonts w:ascii="Times New Roman" w:eastAsia="宋体" w:hAnsi="Times New Roman" w:cs="Times New Roman"/>
      <w:kern w:val="2"/>
      <w:sz w:val="18"/>
      <w:szCs w:val="18"/>
    </w:rPr>
  </w:style>
  <w:style w:type="character" w:customStyle="1" w:styleId="a5">
    <w:name w:val="页脚 字符"/>
    <w:basedOn w:val="a0"/>
    <w:link w:val="a4"/>
    <w:autoRedefine/>
    <w:uiPriority w:val="99"/>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334</Words>
  <Characters>1910</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吕佳</dc:creator>
  <cp:lastModifiedBy>Shawn Su</cp:lastModifiedBy>
  <cp:revision>125</cp:revision>
  <dcterms:created xsi:type="dcterms:W3CDTF">2024-04-02T07:18:00Z</dcterms:created>
  <dcterms:modified xsi:type="dcterms:W3CDTF">2024-04-07T15:11:00Z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9C69F06B1FA2450A920FC1A513BA30DF_11</vt:lpwstr>
  </property>
</Properties>
</file>