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华文中宋" w:hAnsi="华文中宋" w:eastAsia="华文中宋" w:cs="华文中宋"/>
          <w:b/>
          <w:bCs/>
          <w:sz w:val="32"/>
          <w:szCs w:val="32"/>
          <w:lang w:val="en-US" w:eastAsia="zh-CN"/>
        </w:rPr>
      </w:pPr>
      <w:r>
        <w:rPr>
          <w:rFonts w:hint="eastAsia" w:ascii="宋体" w:hAnsi="宋体" w:eastAsia="宋体" w:cs="宋体"/>
          <w:sz w:val="28"/>
          <w:szCs w:val="28"/>
          <w:lang w:val="en-US" w:eastAsia="zh-CN"/>
        </w:rPr>
        <w:t>附件1：</w:t>
      </w:r>
      <w:r>
        <w:rPr>
          <w:rFonts w:hint="eastAsia" w:ascii="宋体" w:hAnsi="宋体" w:eastAsia="宋体" w:cs="宋体"/>
          <w:b w:val="0"/>
          <w:bCs w:val="0"/>
          <w:sz w:val="28"/>
          <w:szCs w:val="28"/>
          <w:lang w:val="en-US" w:eastAsia="zh-CN"/>
        </w:rPr>
        <w:t>2024年北京科技大学二级团组织考核基本观测点指标</w:t>
      </w:r>
    </w:p>
    <w:tbl>
      <w:tblPr>
        <w:tblStyle w:val="6"/>
        <w:tblW w:w="14141" w:type="dxa"/>
        <w:tblInd w:w="0" w:type="dxa"/>
        <w:tblLayout w:type="autofit"/>
        <w:tblCellMar>
          <w:top w:w="0" w:type="dxa"/>
          <w:left w:w="108" w:type="dxa"/>
          <w:bottom w:w="0" w:type="dxa"/>
          <w:right w:w="108" w:type="dxa"/>
        </w:tblCellMar>
      </w:tblPr>
      <w:tblGrid>
        <w:gridCol w:w="1937"/>
        <w:gridCol w:w="5208"/>
        <w:gridCol w:w="6996"/>
      </w:tblGrid>
      <w:tr>
        <w:tblPrEx>
          <w:tblCellMar>
            <w:top w:w="0" w:type="dxa"/>
            <w:left w:w="108" w:type="dxa"/>
            <w:bottom w:w="0" w:type="dxa"/>
            <w:right w:w="108" w:type="dxa"/>
          </w:tblCellMar>
        </w:tblPrEx>
        <w:trPr>
          <w:trHeight w:val="1890" w:hRule="atLeast"/>
        </w:trPr>
        <w:tc>
          <w:tcPr>
            <w:tcW w:w="1937"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仿宋_GB2312" w:hAnsi="宋体" w:eastAsia="仿宋_GB2312" w:cs="宋体"/>
                <w:b/>
                <w:bCs/>
              </w:rPr>
            </w:pPr>
            <w:bookmarkStart w:id="0" w:name="_Hlk165755737"/>
            <w:r>
              <w:rPr>
                <w:rFonts w:hint="eastAsia" w:ascii="仿宋_GB2312" w:hAnsi="宋体" w:eastAsia="仿宋_GB2312" w:cs="宋体"/>
                <w:b/>
                <w:bCs/>
              </w:rPr>
              <w:t>维度</w:t>
            </w:r>
          </w:p>
        </w:tc>
        <w:tc>
          <w:tcPr>
            <w:tcW w:w="5208"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仿宋_GB2312" w:hAnsi="宋体" w:eastAsia="仿宋_GB2312" w:cs="宋体"/>
                <w:b/>
                <w:bCs/>
              </w:rPr>
            </w:pPr>
            <w:r>
              <w:rPr>
                <w:rFonts w:hint="eastAsia" w:ascii="仿宋_GB2312" w:hAnsi="宋体" w:eastAsia="仿宋_GB2312" w:cs="宋体"/>
                <w:b/>
                <w:bCs/>
              </w:rPr>
              <w:t>基本观测点</w:t>
            </w:r>
          </w:p>
        </w:tc>
        <w:tc>
          <w:tcPr>
            <w:tcW w:w="6996"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仿宋_GB2312" w:hAnsi="宋体" w:eastAsia="仿宋_GB2312" w:cs="宋体"/>
                <w:b/>
                <w:bCs/>
                <w:lang w:eastAsia="zh-CN"/>
              </w:rPr>
            </w:pPr>
            <w:r>
              <w:rPr>
                <w:rFonts w:hint="eastAsia" w:ascii="仿宋_GB2312" w:hAnsi="宋体" w:eastAsia="仿宋_GB2312" w:cs="宋体"/>
                <w:b/>
                <w:bCs/>
                <w:lang w:eastAsia="zh-CN"/>
              </w:rPr>
              <w:t>评价标准（扣分制，各指标满分5分，低于达标值扣分）</w:t>
            </w:r>
          </w:p>
        </w:tc>
      </w:tr>
      <w:tr>
        <w:tblPrEx>
          <w:tblCellMar>
            <w:top w:w="0" w:type="dxa"/>
            <w:left w:w="108" w:type="dxa"/>
            <w:bottom w:w="0" w:type="dxa"/>
            <w:right w:w="108" w:type="dxa"/>
          </w:tblCellMar>
        </w:tblPrEx>
        <w:trPr>
          <w:trHeight w:val="476" w:hRule="atLeast"/>
        </w:trPr>
        <w:tc>
          <w:tcPr>
            <w:tcW w:w="193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b/>
                <w:bCs/>
                <w:color w:val="101214"/>
              </w:rPr>
            </w:pPr>
            <w:r>
              <w:rPr>
                <w:rFonts w:hint="eastAsia" w:ascii="仿宋_GB2312" w:hAnsi="宋体" w:eastAsia="仿宋_GB2312" w:cs="宋体"/>
                <w:b/>
                <w:bCs/>
                <w:color w:val="101214"/>
              </w:rPr>
              <w:t>强化思想政治引领</w:t>
            </w:r>
          </w:p>
        </w:tc>
        <w:tc>
          <w:tcPr>
            <w:tcW w:w="5208" w:type="dxa"/>
            <w:tcBorders>
              <w:top w:val="nil"/>
              <w:left w:val="nil"/>
              <w:bottom w:val="single" w:color="auto" w:sz="4" w:space="0"/>
              <w:right w:val="single" w:color="auto" w:sz="4" w:space="0"/>
            </w:tcBorders>
            <w:shd w:val="clear" w:color="auto" w:fill="auto"/>
            <w:vAlign w:val="center"/>
          </w:tcPr>
          <w:p>
            <w:pPr>
              <w:numPr>
                <w:ilvl w:val="0"/>
                <w:numId w:val="1"/>
              </w:numPr>
              <w:jc w:val="both"/>
              <w:rPr>
                <w:rFonts w:hint="eastAsia" w:ascii="仿宋_GB2312" w:hAnsi="宋体" w:eastAsia="仿宋_GB2312" w:cs="宋体"/>
                <w:lang w:eastAsia="zh-CN"/>
              </w:rPr>
            </w:pPr>
            <w:r>
              <w:rPr>
                <w:rFonts w:hint="eastAsia" w:ascii="仿宋_GB2312" w:hAnsi="宋体" w:eastAsia="仿宋_GB2312" w:cs="宋体"/>
                <w:lang w:eastAsia="zh-CN"/>
              </w:rPr>
              <w:t>组织青年参与青年大学习，学习党的科学理论，</w:t>
            </w:r>
          </w:p>
          <w:p>
            <w:pPr>
              <w:numPr>
                <w:ilvl w:val="0"/>
                <w:numId w:val="0"/>
              </w:numPr>
              <w:jc w:val="both"/>
              <w:rPr>
                <w:rFonts w:ascii="仿宋_GB2312" w:hAnsi="宋体" w:eastAsia="仿宋_GB2312" w:cs="宋体"/>
                <w:lang w:eastAsia="zh-CN"/>
              </w:rPr>
            </w:pPr>
            <w:r>
              <w:rPr>
                <w:rFonts w:hint="eastAsia" w:ascii="仿宋_GB2312" w:hAnsi="宋体" w:eastAsia="仿宋_GB2312" w:cs="宋体"/>
                <w:lang w:eastAsia="zh-CN"/>
              </w:rPr>
              <w:t>“青年大学习”参与</w:t>
            </w:r>
            <w:bookmarkStart w:id="1" w:name="_GoBack"/>
            <w:bookmarkEnd w:id="1"/>
            <w:r>
              <w:rPr>
                <w:rFonts w:hint="eastAsia" w:ascii="仿宋_GB2312" w:hAnsi="宋体" w:eastAsia="仿宋_GB2312" w:cs="宋体"/>
                <w:lang w:eastAsia="zh-CN"/>
              </w:rPr>
              <w:t>率达到70%以上。</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每10%扣1分</w:t>
            </w:r>
          </w:p>
        </w:tc>
      </w:tr>
      <w:tr>
        <w:tblPrEx>
          <w:tblCellMar>
            <w:top w:w="0" w:type="dxa"/>
            <w:left w:w="108" w:type="dxa"/>
            <w:bottom w:w="0" w:type="dxa"/>
            <w:right w:w="108" w:type="dxa"/>
          </w:tblCellMar>
        </w:tblPrEx>
        <w:trPr>
          <w:trHeight w:val="476"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2.加强团员、团干部教育培训，举办至少5次/期经备案批准的理论专题培训（含至少1期团校/青马班等团学骨干培训班）。</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每期/次扣1分</w:t>
            </w:r>
          </w:p>
        </w:tc>
      </w:tr>
      <w:tr>
        <w:tblPrEx>
          <w:tblCellMar>
            <w:top w:w="0" w:type="dxa"/>
            <w:left w:w="108" w:type="dxa"/>
            <w:bottom w:w="0" w:type="dxa"/>
            <w:right w:w="108" w:type="dxa"/>
          </w:tblCellMar>
        </w:tblPrEx>
        <w:trPr>
          <w:trHeight w:val="476"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3.新闻宣传综合积分达到100分以上。</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每10%扣1分</w:t>
            </w:r>
          </w:p>
        </w:tc>
      </w:tr>
      <w:tr>
        <w:tblPrEx>
          <w:tblCellMar>
            <w:top w:w="0" w:type="dxa"/>
            <w:left w:w="108" w:type="dxa"/>
            <w:bottom w:w="0" w:type="dxa"/>
            <w:right w:w="108" w:type="dxa"/>
          </w:tblCellMar>
        </w:tblPrEx>
        <w:trPr>
          <w:trHeight w:val="476"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4.宣传品牌项目至少1项（年底评选）。</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未形成品牌项目全额扣分</w:t>
            </w:r>
          </w:p>
        </w:tc>
      </w:tr>
      <w:tr>
        <w:tblPrEx>
          <w:tblCellMar>
            <w:top w:w="0" w:type="dxa"/>
            <w:left w:w="108" w:type="dxa"/>
            <w:bottom w:w="0" w:type="dxa"/>
            <w:right w:w="108" w:type="dxa"/>
          </w:tblCellMar>
        </w:tblPrEx>
        <w:trPr>
          <w:trHeight w:val="476"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5.宣传优秀作品至少2项（年底评选）。</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仅入选1项扣2分，未入选宣传优秀作品全额扣分</w:t>
            </w:r>
          </w:p>
        </w:tc>
      </w:tr>
      <w:tr>
        <w:tblPrEx>
          <w:tblCellMar>
            <w:top w:w="0" w:type="dxa"/>
            <w:left w:w="108" w:type="dxa"/>
            <w:bottom w:w="0" w:type="dxa"/>
            <w:right w:w="108" w:type="dxa"/>
          </w:tblCellMar>
        </w:tblPrEx>
        <w:trPr>
          <w:trHeight w:val="459" w:hRule="atLeast"/>
        </w:trPr>
        <w:tc>
          <w:tcPr>
            <w:tcW w:w="193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b/>
                <w:bCs/>
                <w:color w:val="101214"/>
              </w:rPr>
            </w:pPr>
            <w:r>
              <w:rPr>
                <w:rFonts w:hint="eastAsia" w:ascii="仿宋_GB2312" w:hAnsi="宋体" w:eastAsia="仿宋_GB2312" w:cs="宋体"/>
                <w:b/>
                <w:bCs/>
                <w:color w:val="101214"/>
              </w:rPr>
              <w:t>夯实基层组织建设</w:t>
            </w:r>
          </w:p>
        </w:tc>
        <w:tc>
          <w:tcPr>
            <w:tcW w:w="5208" w:type="dxa"/>
            <w:tcBorders>
              <w:top w:val="nil"/>
              <w:left w:val="nil"/>
              <w:bottom w:val="single" w:color="auto" w:sz="4" w:space="0"/>
              <w:right w:val="single" w:color="auto" w:sz="4" w:space="0"/>
            </w:tcBorders>
            <w:shd w:val="clear" w:color="auto" w:fill="auto"/>
            <w:vAlign w:val="center"/>
          </w:tcPr>
          <w:p>
            <w:pPr>
              <w:numPr>
                <w:ilvl w:val="0"/>
                <w:numId w:val="2"/>
              </w:numPr>
              <w:jc w:val="both"/>
              <w:rPr>
                <w:rFonts w:hint="eastAsia" w:ascii="仿宋_GB2312" w:hAnsi="宋体" w:eastAsia="仿宋_GB2312" w:cs="宋体"/>
                <w:lang w:eastAsia="zh-CN"/>
              </w:rPr>
            </w:pPr>
            <w:r>
              <w:rPr>
                <w:rFonts w:hint="eastAsia" w:ascii="仿宋_GB2312" w:hAnsi="宋体" w:eastAsia="仿宋_GB2312" w:cs="宋体"/>
                <w:lang w:eastAsia="zh-CN"/>
              </w:rPr>
              <w:t>规范做好团支部基础团务工作，团支部对标定级达100%，规范团员发展、“推优入党”流程和办法，</w:t>
            </w:r>
          </w:p>
          <w:p>
            <w:pPr>
              <w:numPr>
                <w:ilvl w:val="0"/>
                <w:numId w:val="0"/>
              </w:numPr>
              <w:jc w:val="both"/>
              <w:rPr>
                <w:rFonts w:ascii="仿宋_GB2312" w:hAnsi="宋体" w:eastAsia="仿宋_GB2312" w:cs="宋体"/>
                <w:lang w:eastAsia="zh-CN"/>
              </w:rPr>
            </w:pPr>
            <w:r>
              <w:rPr>
                <w:rFonts w:hint="eastAsia" w:ascii="仿宋_GB2312" w:hAnsi="宋体" w:eastAsia="仿宋_GB2312" w:cs="宋体"/>
                <w:lang w:eastAsia="zh-CN"/>
              </w:rPr>
              <w:t>“学社转接”率达100%，足额缴纳团费等。</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组织关系“学社转接”率每5%扣0.5分；未完成团支部对标定级、团员发展任务、未足额缴纳团费，全额扣分</w:t>
            </w:r>
          </w:p>
        </w:tc>
      </w:tr>
      <w:tr>
        <w:tblPrEx>
          <w:tblCellMar>
            <w:top w:w="0" w:type="dxa"/>
            <w:left w:w="108" w:type="dxa"/>
            <w:bottom w:w="0" w:type="dxa"/>
            <w:right w:w="108" w:type="dxa"/>
          </w:tblCellMar>
        </w:tblPrEx>
        <w:trPr>
          <w:trHeight w:val="459"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7.规范开展主题团日活动，团支部完成率达100%，督查合格率达90%。</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团支部主题团日完成率每5%扣1分；督查合格率每5%扣1分</w:t>
            </w:r>
          </w:p>
        </w:tc>
      </w:tr>
      <w:tr>
        <w:tblPrEx>
          <w:tblCellMar>
            <w:top w:w="0" w:type="dxa"/>
            <w:left w:w="108" w:type="dxa"/>
            <w:bottom w:w="0" w:type="dxa"/>
            <w:right w:w="108" w:type="dxa"/>
          </w:tblCellMar>
        </w:tblPrEx>
        <w:trPr>
          <w:trHeight w:val="459"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8.挂靠指导至少1个学生社团健康发展，师生积极有序参加社团活动。</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459"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9.挂靠指导的学生社团每年至少面向全校开展1次精品公开课程。</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459"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10.指导学生会组织改革完成率达到100%。</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未完成一项扣0.5分</w:t>
            </w:r>
          </w:p>
        </w:tc>
      </w:tr>
      <w:tr>
        <w:tblPrEx>
          <w:tblCellMar>
            <w:top w:w="0" w:type="dxa"/>
            <w:left w:w="108" w:type="dxa"/>
            <w:bottom w:w="0" w:type="dxa"/>
            <w:right w:w="108" w:type="dxa"/>
          </w:tblCellMar>
        </w:tblPrEx>
        <w:trPr>
          <w:trHeight w:val="459"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11.青年教师团工委机构健全、队伍齐整。</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459"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12.青年教师团工委年度重点任务全部完成。</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816" w:hRule="atLeast"/>
        </w:trPr>
        <w:tc>
          <w:tcPr>
            <w:tcW w:w="193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仿宋_GB2312" w:hAnsi="宋体" w:eastAsia="仿宋_GB2312" w:cs="宋体"/>
                <w:b/>
                <w:bCs/>
                <w:color w:val="101214"/>
              </w:rPr>
            </w:pPr>
            <w:r>
              <w:rPr>
                <w:rFonts w:hint="eastAsia" w:ascii="仿宋_GB2312" w:hAnsi="宋体" w:eastAsia="仿宋_GB2312" w:cs="宋体"/>
                <w:b/>
                <w:bCs/>
                <w:color w:val="101214"/>
              </w:rPr>
              <w:t>服务青年成长需求</w:t>
            </w:r>
          </w:p>
        </w:tc>
        <w:tc>
          <w:tcPr>
            <w:tcW w:w="5208" w:type="dxa"/>
            <w:tcBorders>
              <w:top w:val="single" w:color="auto" w:sz="4" w:space="0"/>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13.按要求完成全部专题调研任务。</w:t>
            </w:r>
          </w:p>
        </w:tc>
        <w:tc>
          <w:tcPr>
            <w:tcW w:w="6996" w:type="dxa"/>
            <w:tcBorders>
              <w:top w:val="single" w:color="auto" w:sz="4" w:space="0"/>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每缺1次扣1分，完成率低于50%全额扣分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000000"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14.多渠道实施就业帮扶措施，促进帮扶对象就业。</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组织双选会、提供就业信息、开展就业培训等，视情形赋分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000000"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15.开展至少1项文艺精品活动，在全校范围内具有影响力，覆盖学生群体超过学院学生人数的20%。</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000000"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16.在艺术节期间申报并承办1项校级文化艺术活动。</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000000"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17.本科生学院：充分利用到梦空间发布学院第二课堂有关活动，发布率达100% 。</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90%≤发布率＜100%扣1分，80%≤发布率＜90%扣2分，70%≤发布率＜80%扣3分，发布率低于70%全额扣分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000000"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18.本科生学院：结合学院学科专业背景及工作经验，推进校内、校企、校地第二课堂教育实践基地建设。</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所建立基地在当年度应与合作方开展至少一次活动，未开展活动视为未设立该基地。</w:t>
            </w:r>
            <w:r>
              <w:rPr>
                <w:rFonts w:hint="eastAsia" w:ascii="仿宋_GB2312" w:hAnsi="宋体" w:eastAsia="仿宋_GB2312" w:cs="宋体"/>
                <w:lang w:eastAsia="zh-CN"/>
              </w:rPr>
              <w:br w:type="textWrapping"/>
            </w:r>
            <w:r>
              <w:rPr>
                <w:rFonts w:hint="eastAsia" w:ascii="仿宋_GB2312" w:hAnsi="宋体" w:eastAsia="仿宋_GB2312" w:cs="宋体"/>
                <w:lang w:eastAsia="zh-CN"/>
              </w:rPr>
              <w:t>劳动志愿类至少设立3个，社会实践及企业实习类至少设立3个，创新创业类至少设立3个。</w:t>
            </w:r>
            <w:r>
              <w:rPr>
                <w:rFonts w:hint="eastAsia" w:ascii="仿宋_GB2312" w:hAnsi="宋体" w:eastAsia="仿宋_GB2312" w:cs="宋体"/>
                <w:lang w:eastAsia="zh-CN"/>
              </w:rPr>
              <w:br w:type="textWrapping"/>
            </w:r>
            <w:r>
              <w:rPr>
                <w:rFonts w:hint="eastAsia" w:ascii="仿宋_GB2312" w:hAnsi="宋体" w:eastAsia="仿宋_GB2312" w:cs="宋体"/>
                <w:lang w:eastAsia="zh-CN"/>
              </w:rPr>
              <w:t>完成9个二课基地设立并对应开展活动，记5分，每少完成1个扣1分，设立并开展活动基地数量在4个及以下全额扣分。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000000"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19.本科生学院：依托《北京科技大学本科生综合素质评价指导办法（试行）》修订学院工作实施细则，提交学院党政联席会研究通过。</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000000"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20.本科生学院：“</w:t>
            </w:r>
            <w:r>
              <w:rPr>
                <w:rFonts w:hint="eastAsia" w:ascii="仿宋_GB2312" w:hAnsi="宋体" w:eastAsia="仿宋_GB2312" w:cs="宋体"/>
                <w:lang w:val="en-US" w:eastAsia="zh-CN"/>
              </w:rPr>
              <w:t>悦跑悦青春”跑步活动</w:t>
            </w:r>
            <w:r>
              <w:rPr>
                <w:rFonts w:hint="eastAsia" w:ascii="仿宋_GB2312" w:hAnsi="宋体" w:eastAsia="仿宋_GB2312" w:cs="宋体"/>
                <w:lang w:eastAsia="zh-CN"/>
              </w:rPr>
              <w:t>合格率达到98%以上。</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每5%扣0.5分</w:t>
            </w:r>
          </w:p>
        </w:tc>
      </w:tr>
      <w:tr>
        <w:tblPrEx>
          <w:tblCellMar>
            <w:top w:w="0" w:type="dxa"/>
            <w:left w:w="108" w:type="dxa"/>
            <w:bottom w:w="0" w:type="dxa"/>
            <w:right w:w="108" w:type="dxa"/>
          </w:tblCellMar>
        </w:tblPrEx>
        <w:trPr>
          <w:trHeight w:val="816"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21.每个月至少报送两次活动早知道，报送两篇工作简讯材料。</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每年工作简讯报送10-14篇，扣1分，报送10篇以下，扣2分；</w:t>
            </w:r>
          </w:p>
          <w:p>
            <w:pPr>
              <w:jc w:val="both"/>
              <w:rPr>
                <w:rFonts w:ascii="仿宋_GB2312" w:hAnsi="宋体" w:eastAsia="仿宋_GB2312" w:cs="宋体"/>
                <w:lang w:eastAsia="zh-CN"/>
              </w:rPr>
            </w:pPr>
            <w:r>
              <w:rPr>
                <w:rFonts w:hint="eastAsia" w:ascii="仿宋_GB2312" w:hAnsi="宋体" w:eastAsia="仿宋_GB2312" w:cs="宋体"/>
                <w:lang w:eastAsia="zh-CN"/>
              </w:rPr>
              <w:t>活动早知道报送10-14次，扣0.5分，报送10次以下，扣1分；</w:t>
            </w:r>
          </w:p>
          <w:p>
            <w:pPr>
              <w:jc w:val="both"/>
              <w:rPr>
                <w:rFonts w:ascii="仿宋_GB2312" w:hAnsi="宋体" w:eastAsia="仿宋_GB2312" w:cs="宋体"/>
                <w:lang w:eastAsia="zh-CN"/>
              </w:rPr>
            </w:pPr>
            <w:r>
              <w:rPr>
                <w:rFonts w:hint="eastAsia" w:ascii="仿宋_GB2312" w:hAnsi="宋体" w:eastAsia="仿宋_GB2312" w:cs="宋体"/>
                <w:lang w:eastAsia="zh-CN"/>
              </w:rPr>
              <w:t>工作简讯录用率50%-70%扣0.5分，20%-50%扣1分，0%-20%扣2分</w:t>
            </w:r>
          </w:p>
        </w:tc>
      </w:tr>
      <w:tr>
        <w:tblPrEx>
          <w:tblCellMar>
            <w:top w:w="0" w:type="dxa"/>
            <w:left w:w="108" w:type="dxa"/>
            <w:bottom w:w="0" w:type="dxa"/>
            <w:right w:w="108" w:type="dxa"/>
          </w:tblCellMar>
        </w:tblPrEx>
        <w:trPr>
          <w:trHeight w:val="873" w:hRule="atLeast"/>
        </w:trPr>
        <w:tc>
          <w:tcPr>
            <w:tcW w:w="19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b/>
                <w:bCs/>
                <w:color w:val="101214"/>
              </w:rPr>
            </w:pPr>
            <w:r>
              <w:rPr>
                <w:rFonts w:hint="eastAsia" w:ascii="仿宋_GB2312" w:hAnsi="宋体" w:eastAsia="仿宋_GB2312" w:cs="宋体"/>
                <w:b/>
                <w:bCs/>
                <w:color w:val="101214"/>
              </w:rPr>
              <w:t>引领青年服务社会</w:t>
            </w:r>
          </w:p>
        </w:tc>
        <w:tc>
          <w:tcPr>
            <w:tcW w:w="5208" w:type="dxa"/>
            <w:tcBorders>
              <w:top w:val="single" w:color="auto" w:sz="4" w:space="0"/>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22.本科生学院：大三及以上年级学生暑期社会实践参与率达到100%；年度参与寒假社会实践人数比例不低于10%。</w:t>
            </w:r>
          </w:p>
        </w:tc>
        <w:tc>
          <w:tcPr>
            <w:tcW w:w="6996" w:type="dxa"/>
            <w:tcBorders>
              <w:top w:val="single" w:color="auto" w:sz="4" w:space="0"/>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暑期社会实践未达标全额扣分；寒假社会实践人数每少1%扣1分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23.本科生学院：社会实践团队或成果至少获得1项省部级以上奖项。</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24.创新创业项目在“三大赛”中获得3个市赛二等奖及以上奖项（含“挑战杯”专项赛，含学院联合培养项目）。</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仅获得2个扣1分，仅获得1个扣3分，低于1个全额扣分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25.本科生培养单位开设“摇篮杯”创意竞赛，且“摇篮杯”竞赛各赛道参与人次占学院总人数（本硕博）比例不低于12%；研究生培养单位不低于6%。</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本科生培养单位在10%到12%之间扣2分，低于10%或未开设创意竞赛全额扣分。研究生培养单位在4%-6%之间扣2分，低于4%全额扣分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26.“摇篮杯”成绩总分达到200分以上。</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27.学院积极动员学生参加第十九届“挑战杯”科技竞赛揭榜挂帅专项赛，参赛团队不少于2个。</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仅1个项目参赛扣2分，无项目参赛全额扣分。无相关命题的学院，未参赛不扣分。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numPr>
                <w:ilvl w:val="0"/>
                <w:numId w:val="3"/>
              </w:numPr>
              <w:jc w:val="both"/>
              <w:rPr>
                <w:rFonts w:hint="eastAsia" w:ascii="仿宋_GB2312" w:hAnsi="宋体" w:eastAsia="仿宋_GB2312" w:cs="宋体"/>
                <w:lang w:eastAsia="zh-CN"/>
              </w:rPr>
            </w:pPr>
            <w:r>
              <w:rPr>
                <w:rFonts w:hint="eastAsia" w:ascii="仿宋_GB2312" w:hAnsi="宋体" w:eastAsia="仿宋_GB2312" w:cs="宋体"/>
                <w:lang w:eastAsia="zh-CN"/>
              </w:rPr>
              <w:t>团支部社区报到（志愿服务、劳动实践、社会实</w:t>
            </w:r>
          </w:p>
          <w:p>
            <w:pPr>
              <w:numPr>
                <w:ilvl w:val="0"/>
                <w:numId w:val="0"/>
              </w:numPr>
              <w:jc w:val="both"/>
              <w:rPr>
                <w:rFonts w:ascii="仿宋_GB2312" w:hAnsi="宋体" w:eastAsia="仿宋_GB2312" w:cs="宋体"/>
                <w:lang w:eastAsia="zh-CN"/>
              </w:rPr>
            </w:pPr>
            <w:r>
              <w:rPr>
                <w:rFonts w:hint="eastAsia" w:ascii="仿宋_GB2312" w:hAnsi="宋体" w:eastAsia="仿宋_GB2312" w:cs="宋体"/>
                <w:lang w:eastAsia="zh-CN"/>
              </w:rPr>
              <w:t>践、科技服务）完成率达30%。</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未完成全额扣分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numPr>
                <w:ilvl w:val="0"/>
                <w:numId w:val="3"/>
              </w:numPr>
              <w:ind w:left="0" w:leftChars="0" w:firstLine="0" w:firstLineChars="0"/>
              <w:jc w:val="both"/>
              <w:rPr>
                <w:rFonts w:hint="eastAsia" w:ascii="仿宋_GB2312" w:hAnsi="宋体" w:eastAsia="仿宋_GB2312" w:cs="宋体"/>
                <w:lang w:eastAsia="zh-CN"/>
              </w:rPr>
            </w:pPr>
            <w:r>
              <w:rPr>
                <w:rFonts w:hint="eastAsia" w:ascii="仿宋_GB2312" w:hAnsi="宋体" w:eastAsia="仿宋_GB2312" w:cs="宋体"/>
                <w:lang w:eastAsia="zh-CN"/>
              </w:rPr>
              <w:t>本科生学院：举办至少1次内容丰富的学年劳动</w:t>
            </w:r>
          </w:p>
          <w:p>
            <w:pPr>
              <w:numPr>
                <w:ilvl w:val="0"/>
                <w:numId w:val="0"/>
              </w:numPr>
              <w:ind w:leftChars="0"/>
              <w:jc w:val="both"/>
              <w:rPr>
                <w:rFonts w:ascii="仿宋_GB2312" w:hAnsi="宋体" w:eastAsia="仿宋_GB2312" w:cs="宋体"/>
                <w:lang w:eastAsia="zh-CN"/>
              </w:rPr>
            </w:pPr>
            <w:r>
              <w:rPr>
                <w:rFonts w:hint="eastAsia" w:ascii="仿宋_GB2312" w:hAnsi="宋体" w:eastAsia="仿宋_GB2312" w:cs="宋体"/>
                <w:lang w:eastAsia="zh-CN"/>
              </w:rPr>
              <w:t>周，参与人次占学院本科生总人数比例不低于100%。</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每5%扣0.5分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30.大四年级《劳动教育与志愿服务》课程结课率达95%及以上。</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每1%扣0.5分</w:t>
            </w:r>
          </w:p>
        </w:tc>
      </w:tr>
      <w:tr>
        <w:tblPrEx>
          <w:tblCellMar>
            <w:top w:w="0" w:type="dxa"/>
            <w:left w:w="108" w:type="dxa"/>
            <w:bottom w:w="0" w:type="dxa"/>
            <w:right w:w="108" w:type="dxa"/>
          </w:tblCellMar>
        </w:tblPrEx>
        <w:trPr>
          <w:trHeight w:val="873" w:hRule="atLeast"/>
        </w:trPr>
        <w:tc>
          <w:tcPr>
            <w:tcW w:w="1937" w:type="dxa"/>
            <w:vMerge w:val="continue"/>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31.本科生学院：长期志愿服务项目数量5个及以上。</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rPr>
            </w:pPr>
            <w:r>
              <w:rPr>
                <w:rFonts w:hint="eastAsia" w:ascii="仿宋_GB2312" w:hAnsi="宋体" w:eastAsia="仿宋_GB2312" w:cs="宋体"/>
              </w:rPr>
              <w:t>每缺少1个扣1分</w:t>
            </w:r>
          </w:p>
        </w:tc>
      </w:tr>
      <w:tr>
        <w:tblPrEx>
          <w:tblCellMar>
            <w:top w:w="0" w:type="dxa"/>
            <w:left w:w="108" w:type="dxa"/>
            <w:bottom w:w="0" w:type="dxa"/>
            <w:right w:w="108" w:type="dxa"/>
          </w:tblCellMar>
        </w:tblPrEx>
        <w:trPr>
          <w:trHeight w:val="646" w:hRule="atLeast"/>
        </w:trPr>
        <w:tc>
          <w:tcPr>
            <w:tcW w:w="1937" w:type="dxa"/>
            <w:tcBorders>
              <w:top w:val="single" w:color="auto" w:sz="8" w:space="0"/>
              <w:left w:val="single" w:color="auto" w:sz="8" w:space="0"/>
              <w:bottom w:val="nil"/>
              <w:right w:val="single" w:color="auto" w:sz="8" w:space="0"/>
            </w:tcBorders>
            <w:shd w:val="clear" w:color="auto" w:fill="BEBEBE" w:themeFill="background1" w:themeFillShade="BF"/>
            <w:vAlign w:val="center"/>
          </w:tcPr>
          <w:p>
            <w:pPr>
              <w:jc w:val="center"/>
              <w:rPr>
                <w:rFonts w:ascii="仿宋_GB2312" w:hAnsi="宋体" w:eastAsia="仿宋_GB2312" w:cs="宋体"/>
                <w:b/>
                <w:bCs/>
              </w:rPr>
            </w:pPr>
            <w:r>
              <w:rPr>
                <w:rFonts w:hint="eastAsia" w:ascii="仿宋_GB2312" w:hAnsi="宋体" w:eastAsia="仿宋_GB2312" w:cs="宋体"/>
                <w:b/>
                <w:bCs/>
              </w:rPr>
              <w:t>维度</w:t>
            </w:r>
          </w:p>
        </w:tc>
        <w:tc>
          <w:tcPr>
            <w:tcW w:w="5208" w:type="dxa"/>
            <w:tcBorders>
              <w:top w:val="single" w:color="auto" w:sz="8" w:space="0"/>
              <w:left w:val="nil"/>
              <w:bottom w:val="single" w:color="auto" w:sz="8" w:space="0"/>
              <w:right w:val="single" w:color="auto" w:sz="8" w:space="0"/>
            </w:tcBorders>
            <w:shd w:val="clear" w:color="auto" w:fill="BEBEBE" w:themeFill="background1" w:themeFillShade="BF"/>
            <w:vAlign w:val="center"/>
          </w:tcPr>
          <w:p>
            <w:pPr>
              <w:jc w:val="center"/>
              <w:rPr>
                <w:rFonts w:ascii="仿宋_GB2312" w:hAnsi="宋体" w:eastAsia="仿宋_GB2312" w:cs="宋体"/>
                <w:b/>
                <w:bCs/>
              </w:rPr>
            </w:pPr>
            <w:r>
              <w:rPr>
                <w:rFonts w:hint="eastAsia" w:ascii="仿宋_GB2312" w:hAnsi="宋体" w:eastAsia="仿宋_GB2312" w:cs="宋体"/>
                <w:b/>
                <w:bCs/>
              </w:rPr>
              <w:t>基本观测点</w:t>
            </w:r>
          </w:p>
        </w:tc>
        <w:tc>
          <w:tcPr>
            <w:tcW w:w="6996" w:type="dxa"/>
            <w:tcBorders>
              <w:top w:val="single" w:color="auto" w:sz="8" w:space="0"/>
              <w:left w:val="nil"/>
              <w:bottom w:val="single" w:color="auto" w:sz="8" w:space="0"/>
              <w:right w:val="single" w:color="auto" w:sz="8" w:space="0"/>
            </w:tcBorders>
            <w:shd w:val="clear" w:color="auto" w:fill="BEBEBE" w:themeFill="background1" w:themeFillShade="BF"/>
            <w:vAlign w:val="center"/>
          </w:tcPr>
          <w:p>
            <w:pPr>
              <w:jc w:val="center"/>
              <w:rPr>
                <w:rFonts w:ascii="仿宋_GB2312" w:hAnsi="宋体" w:eastAsia="仿宋_GB2312" w:cs="宋体"/>
                <w:b/>
                <w:bCs/>
                <w:lang w:eastAsia="zh-CN"/>
              </w:rPr>
            </w:pPr>
            <w:r>
              <w:rPr>
                <w:rFonts w:hint="eastAsia" w:ascii="仿宋_GB2312" w:hAnsi="宋体" w:eastAsia="仿宋_GB2312" w:cs="宋体"/>
                <w:b/>
                <w:bCs/>
                <w:lang w:eastAsia="zh-CN"/>
              </w:rPr>
              <w:t>评价标准（加分制，各指标最高加3分）</w:t>
            </w:r>
          </w:p>
        </w:tc>
      </w:tr>
      <w:tr>
        <w:tblPrEx>
          <w:tblCellMar>
            <w:top w:w="0" w:type="dxa"/>
            <w:left w:w="108" w:type="dxa"/>
            <w:bottom w:w="0" w:type="dxa"/>
            <w:right w:w="108" w:type="dxa"/>
          </w:tblCellMar>
        </w:tblPrEx>
        <w:trPr>
          <w:trHeight w:val="646" w:hRule="atLeast"/>
        </w:trPr>
        <w:tc>
          <w:tcPr>
            <w:tcW w:w="19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b/>
                <w:bCs/>
                <w:color w:val="101214"/>
              </w:rPr>
            </w:pPr>
            <w:r>
              <w:rPr>
                <w:rFonts w:hint="eastAsia" w:ascii="仿宋_GB2312" w:hAnsi="宋体" w:eastAsia="仿宋_GB2312" w:cs="宋体"/>
                <w:b/>
                <w:bCs/>
                <w:color w:val="101214"/>
              </w:rPr>
              <w:t>打造特色工作经验</w:t>
            </w:r>
          </w:p>
        </w:tc>
        <w:tc>
          <w:tcPr>
            <w:tcW w:w="5208" w:type="dxa"/>
            <w:tcBorders>
              <w:top w:val="single" w:color="auto" w:sz="4" w:space="0"/>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32.创新创业“三大赛”国赛奖项等重要荣誉或作出突出贡献。</w:t>
            </w:r>
          </w:p>
        </w:tc>
        <w:tc>
          <w:tcPr>
            <w:tcW w:w="6996" w:type="dxa"/>
            <w:tcBorders>
              <w:top w:val="single" w:color="auto" w:sz="4" w:space="0"/>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学院团委积极参与竞赛组织工作，深度参与项目挖掘、过程培育、经费支持等工作。在此基础上，相关项目获得挑战杯主体赛和创新大赛各赛道国赛一等奖及以上奖项（不含国际项目）、获得挑战杯“揭榜挂帅”专项赛特等奖及以上奖项的，加3分；获得挑战杯主体赛、专项赛和创新大赛各赛道国赛奖项的（含国际项目），加2.5分；获得挑战杯主体赛、创新大赛各赛道市赛一等奖及以上奖项的，加1.5分。积极为其他学院获奖项目匹配核心人员、提供关键支持的学院，减半进行加分。学院团委未深度参与竞赛组织工作、有项目获得相关奖项的，不加分</w:t>
            </w:r>
          </w:p>
        </w:tc>
      </w:tr>
      <w:tr>
        <w:tblPrEx>
          <w:tblCellMar>
            <w:top w:w="0" w:type="dxa"/>
            <w:left w:w="108" w:type="dxa"/>
            <w:bottom w:w="0" w:type="dxa"/>
            <w:right w:w="108" w:type="dxa"/>
          </w:tblCellMar>
        </w:tblPrEx>
        <w:trPr>
          <w:trHeight w:val="646" w:hRule="atLeast"/>
        </w:trPr>
        <w:tc>
          <w:tcPr>
            <w:tcW w:w="193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33.聚焦一二课堂协同育人，推进校内、校企、校地第二课堂教育实践基地建设，打造特色样板二课基地。</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本单位第二课堂教育实践基地先进经验做法或典型案例得到地方市级（北京区县级）媒体平台宣传报道的，加1分；得到省部级（北京市级）媒体平台宣传报道的，加2分；得到国家级媒体平台宣传报道的，加3分</w:t>
            </w:r>
          </w:p>
        </w:tc>
      </w:tr>
      <w:tr>
        <w:tblPrEx>
          <w:tblCellMar>
            <w:top w:w="0" w:type="dxa"/>
            <w:left w:w="108" w:type="dxa"/>
            <w:bottom w:w="0" w:type="dxa"/>
            <w:right w:w="108" w:type="dxa"/>
          </w:tblCellMar>
        </w:tblPrEx>
        <w:trPr>
          <w:trHeight w:val="646" w:hRule="atLeast"/>
        </w:trPr>
        <w:tc>
          <w:tcPr>
            <w:tcW w:w="193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34.团建百强、团日活动、基层团建、选树榜样、主题教育开展良好，作为典型获得宣传推广。</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深入打造基层团组织建设新样板，形成特色工作模式，实施效果良好，入选校级典型每个案例加1分，入选市级典型每个案例加2分，入选国家级典型加3分；或获重要团内荣誉的，省部级以上加2分，国家级加3分</w:t>
            </w:r>
          </w:p>
        </w:tc>
      </w:tr>
      <w:tr>
        <w:tblPrEx>
          <w:tblCellMar>
            <w:top w:w="0" w:type="dxa"/>
            <w:left w:w="108" w:type="dxa"/>
            <w:bottom w:w="0" w:type="dxa"/>
            <w:right w:w="108" w:type="dxa"/>
          </w:tblCellMar>
        </w:tblPrEx>
        <w:trPr>
          <w:trHeight w:val="646" w:hRule="atLeast"/>
        </w:trPr>
        <w:tc>
          <w:tcPr>
            <w:tcW w:w="193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35.志愿服务项目在市级及以上项目大赛中获奖；志愿服务组织获得市级及以上先进称号；学院学生于本学年内获评校级“十佳志愿者”“金星志愿者”、北京市“五星级志愿者”。</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项目获市级铜奖或银奖加0.5分，获市级金奖或全国铜奖加1分，获全国银奖加1.5分、获全国金奖加2分；志愿服务组织获市级先进组织加1分，获全国先进组织加2分；学生获校级“十佳志愿者”或校级“金星志愿者”加0.5分，北京市“五星级志愿者”加1分</w:t>
            </w:r>
          </w:p>
        </w:tc>
      </w:tr>
      <w:tr>
        <w:tblPrEx>
          <w:tblCellMar>
            <w:top w:w="0" w:type="dxa"/>
            <w:left w:w="108" w:type="dxa"/>
            <w:bottom w:w="0" w:type="dxa"/>
            <w:right w:w="108" w:type="dxa"/>
          </w:tblCellMar>
        </w:tblPrEx>
        <w:trPr>
          <w:trHeight w:val="646" w:hRule="atLeast"/>
        </w:trPr>
        <w:tc>
          <w:tcPr>
            <w:tcW w:w="193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36.支持学生社团健康有序发展，为学生社团发挥育人功能提供保障。</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每多挂靠指导1个学生社团加0.5分；挂靠指导的学生社团获评十佳社团，每个加1分</w:t>
            </w:r>
          </w:p>
        </w:tc>
      </w:tr>
      <w:tr>
        <w:tblPrEx>
          <w:tblCellMar>
            <w:top w:w="0" w:type="dxa"/>
            <w:left w:w="108" w:type="dxa"/>
            <w:bottom w:w="0" w:type="dxa"/>
            <w:right w:w="108" w:type="dxa"/>
          </w:tblCellMar>
        </w:tblPrEx>
        <w:trPr>
          <w:trHeight w:val="646" w:hRule="atLeast"/>
        </w:trPr>
        <w:tc>
          <w:tcPr>
            <w:tcW w:w="193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37.宣传产品获省部级以上奖项或共青团工作获国家级媒体报道。</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宣传产品获省部级以上奖项1项及以上，或共青团工作获国家级媒体报道1次及以上，加3分</w:t>
            </w:r>
          </w:p>
        </w:tc>
      </w:tr>
      <w:tr>
        <w:tblPrEx>
          <w:tblCellMar>
            <w:top w:w="0" w:type="dxa"/>
            <w:left w:w="108" w:type="dxa"/>
            <w:bottom w:w="0" w:type="dxa"/>
            <w:right w:w="108" w:type="dxa"/>
          </w:tblCellMar>
        </w:tblPrEx>
        <w:trPr>
          <w:trHeight w:val="646" w:hRule="atLeast"/>
        </w:trPr>
        <w:tc>
          <w:tcPr>
            <w:tcW w:w="193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38.实践团队或成果获国家级奖项。</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实践团队或成果获国家级奖项1项及以上，加3分</w:t>
            </w:r>
          </w:p>
        </w:tc>
      </w:tr>
      <w:tr>
        <w:tblPrEx>
          <w:tblCellMar>
            <w:top w:w="0" w:type="dxa"/>
            <w:left w:w="108" w:type="dxa"/>
            <w:bottom w:w="0" w:type="dxa"/>
            <w:right w:w="108" w:type="dxa"/>
          </w:tblCellMar>
        </w:tblPrEx>
        <w:trPr>
          <w:trHeight w:val="646" w:hRule="atLeast"/>
        </w:trPr>
        <w:tc>
          <w:tcPr>
            <w:tcW w:w="193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bCs/>
                <w:color w:val="101214"/>
                <w:lang w:eastAsia="zh-CN"/>
              </w:rPr>
            </w:pPr>
          </w:p>
        </w:tc>
        <w:tc>
          <w:tcPr>
            <w:tcW w:w="5208"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39.创作富有时代特征、彰显校园特色与学生特点的原创艺术作品。</w:t>
            </w:r>
          </w:p>
        </w:tc>
        <w:tc>
          <w:tcPr>
            <w:tcW w:w="6996" w:type="dxa"/>
            <w:tcBorders>
              <w:top w:val="nil"/>
              <w:left w:val="nil"/>
              <w:bottom w:val="single" w:color="auto" w:sz="4" w:space="0"/>
              <w:right w:val="single" w:color="auto" w:sz="4" w:space="0"/>
            </w:tcBorders>
            <w:shd w:val="clear" w:color="auto" w:fill="auto"/>
            <w:vAlign w:val="center"/>
          </w:tcPr>
          <w:p>
            <w:pPr>
              <w:jc w:val="both"/>
              <w:rPr>
                <w:rFonts w:ascii="仿宋_GB2312" w:hAnsi="宋体" w:eastAsia="仿宋_GB2312" w:cs="宋体"/>
                <w:lang w:eastAsia="zh-CN"/>
              </w:rPr>
            </w:pPr>
            <w:r>
              <w:rPr>
                <w:rFonts w:hint="eastAsia" w:ascii="仿宋_GB2312" w:hAnsi="宋体" w:eastAsia="仿宋_GB2312" w:cs="宋体"/>
                <w:lang w:eastAsia="zh-CN"/>
              </w:rPr>
              <w:t>完成1项创作加1分，获省部级奖项或媒体报道加2分，获得国家级奖项或媒体报道加3分</w:t>
            </w:r>
          </w:p>
        </w:tc>
      </w:tr>
      <w:bookmarkEnd w:id="0"/>
    </w:tbl>
    <w:p>
      <w:pPr>
        <w:jc w:val="center"/>
        <w:rPr>
          <w:lang w:eastAsia="zh-CN"/>
        </w:rPr>
      </w:pPr>
    </w:p>
    <w:p>
      <w:pPr>
        <w:pStyle w:val="3"/>
        <w:spacing w:before="1" w:line="217" w:lineRule="auto"/>
        <w:rPr>
          <w:rFonts w:ascii="仿宋_GB2312" w:hAnsi="仿宋_GB2312" w:eastAsia="仿宋_GB2312" w:cs="仿宋_GB2312"/>
          <w:shd w:val="clear" w:color="auto" w:fill="FFFFFF"/>
          <w:lang w:eastAsia="zh-CN" w:bidi="ar"/>
        </w:rPr>
      </w:pPr>
    </w:p>
    <w:sectPr>
      <w:footerReference r:id="rId3" w:type="default"/>
      <w:pgSz w:w="16839" w:h="11906" w:orient="landscape"/>
      <w:pgMar w:top="1440" w:right="1417" w:bottom="1440" w:left="1417" w:header="0" w:footer="100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D06AD7-AA73-4BC6-A895-DF4199E02EDB}"/>
  </w:font>
  <w:font w:name="Arial">
    <w:panose1 w:val="020B0604020202020204"/>
    <w:charset w:val="01"/>
    <w:family w:val="swiss"/>
    <w:pitch w:val="default"/>
    <w:sig w:usb0="E0002EFF" w:usb1="C000785B" w:usb2="00000009" w:usb3="00000000" w:csb0="400001FF" w:csb1="FFFF0000"/>
    <w:embedRegular r:id="rId2" w:fontKey="{8AB655DC-391D-4E05-B46C-A01FABCF36C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D424229-A33E-4280-BCDF-F432A596753C}"/>
  </w:font>
  <w:font w:name="Symbol">
    <w:panose1 w:val="05050102010706020507"/>
    <w:charset w:val="02"/>
    <w:family w:val="roman"/>
    <w:pitch w:val="default"/>
    <w:sig w:usb0="00000000" w:usb1="00000000" w:usb2="00000000" w:usb3="00000000" w:csb0="80000000" w:csb1="00000000"/>
    <w:embedRegular r:id="rId4" w:fontKey="{E856DC14-A3AA-4F73-A11F-2AC8474C9DEF}"/>
  </w:font>
  <w:font w:name="Calibri">
    <w:panose1 w:val="020F0502020204030204"/>
    <w:charset w:val="00"/>
    <w:family w:val="swiss"/>
    <w:pitch w:val="default"/>
    <w:sig w:usb0="E4002EFF" w:usb1="C000247B" w:usb2="00000009" w:usb3="00000000" w:csb0="200001FF" w:csb1="00000000"/>
    <w:embedRegular r:id="rId5" w:fontKey="{028364EC-05AB-4284-A6B1-B12079750262}"/>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6" w:fontKey="{19060917-6A13-4319-8E74-BA553E5738AB}"/>
  </w:font>
  <w:font w:name="仿宋_GB2312">
    <w:panose1 w:val="02010609030101010101"/>
    <w:charset w:val="86"/>
    <w:family w:val="modern"/>
    <w:pitch w:val="default"/>
    <w:sig w:usb0="00000001" w:usb1="080E0000" w:usb2="00000000" w:usb3="00000000" w:csb0="00040000" w:csb1="00000000"/>
    <w:embedRegular r:id="rId7" w:fontKey="{B9D637D4-DF70-46D2-8CFE-91FF0350F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4" w:lineRule="auto"/>
      <w:ind w:left="4488"/>
      <w:rPr>
        <w:rFonts w:ascii="仿宋_GB2312" w:hAnsi="仿宋_GB2312" w:eastAsia="仿宋_GB2312" w:cs="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仿宋_GB2312" w:hAnsi="仿宋_GB2312" w:eastAsia="仿宋_GB2312" w:cs="仿宋_GB2312"/>
                              <w:sz w:val="21"/>
                            </w:rPr>
                          </w:pPr>
                          <w:r>
                            <w:rPr>
                              <w:rFonts w:hint="eastAsia" w:ascii="仿宋_GB2312" w:hAnsi="仿宋_GB2312" w:eastAsia="仿宋_GB2312" w:cs="仿宋_GB2312"/>
                              <w:sz w:val="21"/>
                            </w:rPr>
                            <w:fldChar w:fldCharType="begin"/>
                          </w:r>
                          <w:r>
                            <w:rPr>
                              <w:rFonts w:hint="eastAsia" w:ascii="仿宋_GB2312" w:hAnsi="仿宋_GB2312" w:eastAsia="仿宋_GB2312" w:cs="仿宋_GB2312"/>
                              <w:sz w:val="21"/>
                            </w:rPr>
                            <w:instrText xml:space="preserve"> PAGE  \* MERGEFORMAT </w:instrText>
                          </w:r>
                          <w:r>
                            <w:rPr>
                              <w:rFonts w:hint="eastAsia" w:ascii="仿宋_GB2312" w:hAnsi="仿宋_GB2312" w:eastAsia="仿宋_GB2312" w:cs="仿宋_GB2312"/>
                              <w:sz w:val="21"/>
                            </w:rPr>
                            <w:fldChar w:fldCharType="separate"/>
                          </w:r>
                          <w:r>
                            <w:rPr>
                              <w:rFonts w:hint="eastAsia" w:ascii="仿宋_GB2312" w:hAnsi="仿宋_GB2312" w:eastAsia="仿宋_GB2312" w:cs="仿宋_GB2312"/>
                              <w:sz w:val="21"/>
                            </w:rPr>
                            <w:t>1</w:t>
                          </w:r>
                          <w:r>
                            <w:rPr>
                              <w:rFonts w:hint="eastAsia" w:ascii="仿宋_GB2312" w:hAnsi="仿宋_GB2312" w:eastAsia="仿宋_GB2312" w:cs="仿宋_GB2312"/>
                              <w:sz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4"/>
                      <w:rPr>
                        <w:rFonts w:ascii="仿宋_GB2312" w:hAnsi="仿宋_GB2312" w:eastAsia="仿宋_GB2312" w:cs="仿宋_GB2312"/>
                        <w:sz w:val="21"/>
                      </w:rPr>
                    </w:pPr>
                    <w:r>
                      <w:rPr>
                        <w:rFonts w:hint="eastAsia" w:ascii="仿宋_GB2312" w:hAnsi="仿宋_GB2312" w:eastAsia="仿宋_GB2312" w:cs="仿宋_GB2312"/>
                        <w:sz w:val="21"/>
                      </w:rPr>
                      <w:fldChar w:fldCharType="begin"/>
                    </w:r>
                    <w:r>
                      <w:rPr>
                        <w:rFonts w:hint="eastAsia" w:ascii="仿宋_GB2312" w:hAnsi="仿宋_GB2312" w:eastAsia="仿宋_GB2312" w:cs="仿宋_GB2312"/>
                        <w:sz w:val="21"/>
                      </w:rPr>
                      <w:instrText xml:space="preserve"> PAGE  \* MERGEFORMAT </w:instrText>
                    </w:r>
                    <w:r>
                      <w:rPr>
                        <w:rFonts w:hint="eastAsia" w:ascii="仿宋_GB2312" w:hAnsi="仿宋_GB2312" w:eastAsia="仿宋_GB2312" w:cs="仿宋_GB2312"/>
                        <w:sz w:val="21"/>
                      </w:rPr>
                      <w:fldChar w:fldCharType="separate"/>
                    </w:r>
                    <w:r>
                      <w:rPr>
                        <w:rFonts w:hint="eastAsia" w:ascii="仿宋_GB2312" w:hAnsi="仿宋_GB2312" w:eastAsia="仿宋_GB2312" w:cs="仿宋_GB2312"/>
                        <w:sz w:val="21"/>
                      </w:rPr>
                      <w:t>1</w:t>
                    </w:r>
                    <w:r>
                      <w:rPr>
                        <w:rFonts w:hint="eastAsia" w:ascii="仿宋_GB2312" w:hAnsi="仿宋_GB2312" w:eastAsia="仿宋_GB2312" w:cs="仿宋_GB2312"/>
                        <w:sz w:val="21"/>
                      </w:rPr>
                      <w:fldChar w:fldCharType="end"/>
                    </w:r>
                  </w:p>
                </w:txbxContent>
              </v:textbox>
            </v:shape>
          </w:pict>
        </mc:Fallback>
      </mc:AlternateContent>
    </w:r>
    <w:r>
      <w:rPr>
        <w:rFonts w:hint="eastAsia" w:ascii="仿宋_GB2312" w:hAnsi="仿宋_GB2312" w:eastAsia="仿宋_GB2312" w:cs="仿宋_GB2312"/>
        <w:sz w:val="21"/>
        <w:szCs w:val="21"/>
      </w:rPr>
      <mc:AlternateContent>
        <mc:Choice Requires="wps">
          <w:drawing>
            <wp:anchor distT="0" distB="0" distL="114300" distR="114300" simplePos="0" relativeHeight="251659264" behindDoc="0" locked="0" layoutInCell="1" allowOverlap="1">
              <wp:simplePos x="0" y="0"/>
              <wp:positionH relativeFrom="margin">
                <wp:posOffset>2390140</wp:posOffset>
              </wp:positionH>
              <wp:positionV relativeFrom="paragraph">
                <wp:posOffset>31750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8.2pt;margin-top:2.5pt;height:144pt;width:144pt;mso-position-horizontal-relative:margin;mso-wrap-style:none;z-index:251659264;mso-width-relative:page;mso-height-relative:page;" filled="f" stroked="f" coordsize="21600,21600" o:gfxdata="UEsDBAoAAAAAAIdO4kAAAAAAAAAAAAAAAAAEAAAAZHJzL1BLAwQUAAAACACHTuJAMknkQ9YAAAAJ&#10;AQAADwAAAGRycy9kb3ducmV2LnhtbE2PzU7DMBCE70i8g7VI3KjdJgQIcSpREY5INBw4uvGSBPwT&#10;2W4a3p7lRI+jGc18U20Xa9iMIY7eSVivBDB0ndej6yW8t83NPbCYlNPKeIcSfjDCtr68qFSp/cm9&#10;4bxPPaMSF0slYUhpKjmP3YBWxZWf0JH36YNViWTouQ7qROXW8I0QBbdqdLQwqAl3A3bf+6OVsGva&#10;NswYg/nAlyb7en3K8XmR8vpqLR6BJVzSfxj+8AkdamI6+KPTkRkJ2V2RU1TCLV0ivyhy0gcJm4dM&#10;AK8rfv6g/gVQSwMEFAAAAAgAh07iQJpGcYwrAgAAVw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QFOmFKiWYK&#10;Fb98/3b58evy8yvBGQRqrJ8jbmcRGdq3pkXwcO5xGHm3pVPxC0YEfsh7vsor2kB4vDSbzmZjuDh8&#10;wwb42eN163x4J4wi0cipQ/2SrOy09aELHUJiNm02tZSphlKTJqc3r9+M04WrB+BSI0ck0T02WqHd&#10;tz2zvSnOIOZM1xve8k2N5FvmwwNzaAY8GOMS7rGU0iCJ6S1KKuO+/Os8xqNG8FLSoLlyqjFLlMj3&#10;GrUDYBgMNxj7wdBHdWfQrROMoeXJxAUX5GCWzqjPmKFVzAEX0xyZchoG8y50DY4Z5GK1SkHoNsvC&#10;Vu8sj9BRPG9XxwABk65RlE6JXiv0W6pMPxuxof/cp6jH/8H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JJ5EPWAAAACQEAAA8AAAAAAAAAAQAgAAAAIgAAAGRycy9kb3ducmV2LnhtbFBLAQIUABQA&#10;AAAIAIdO4kCaRnGMKwIAAFcEAAAOAAAAAAAAAAEAIAAAACUBAABkcnMvZTJvRG9jLnhtbFBLBQYA&#10;AAAABgAGAFkBAADCBQ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4E4704"/>
    <w:multiLevelType w:val="singleLevel"/>
    <w:tmpl w:val="8E4E4704"/>
    <w:lvl w:ilvl="0" w:tentative="0">
      <w:start w:val="28"/>
      <w:numFmt w:val="decimal"/>
      <w:lvlText w:val="%1."/>
      <w:lvlJc w:val="left"/>
      <w:pPr>
        <w:tabs>
          <w:tab w:val="left" w:pos="312"/>
        </w:tabs>
      </w:pPr>
    </w:lvl>
  </w:abstractNum>
  <w:abstractNum w:abstractNumId="1">
    <w:nsid w:val="B23DD86D"/>
    <w:multiLevelType w:val="singleLevel"/>
    <w:tmpl w:val="B23DD86D"/>
    <w:lvl w:ilvl="0" w:tentative="0">
      <w:start w:val="6"/>
      <w:numFmt w:val="decimal"/>
      <w:lvlText w:val="%1."/>
      <w:lvlJc w:val="left"/>
      <w:pPr>
        <w:tabs>
          <w:tab w:val="left" w:pos="312"/>
        </w:tabs>
      </w:pPr>
    </w:lvl>
  </w:abstractNum>
  <w:abstractNum w:abstractNumId="2">
    <w:nsid w:val="F7DC8C37"/>
    <w:multiLevelType w:val="singleLevel"/>
    <w:tmpl w:val="F7DC8C37"/>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bordersDoNotSurroundHeader w:val="1"/>
  <w:bordersDoNotSurroundFooter w:val="1"/>
  <w:documentProtection w:enforcement="0"/>
  <w:defaultTabStop w:val="420"/>
  <w:displayHorizontalDrawingGridEvery w:val="0"/>
  <w:displayVerticalDrawingGridEvery w:val="2"/>
  <w:characterSpacingControl w:val="doNotCompress"/>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VjYzEzMWVkZDVkYTkzNTIxODA1NzVjMTM4NjE1YjMifQ=="/>
  </w:docVars>
  <w:rsids>
    <w:rsidRoot w:val="00D45100"/>
    <w:rsid w:val="00070701"/>
    <w:rsid w:val="000E6C5A"/>
    <w:rsid w:val="001228CA"/>
    <w:rsid w:val="00295CFF"/>
    <w:rsid w:val="00307B77"/>
    <w:rsid w:val="003256D7"/>
    <w:rsid w:val="0044401D"/>
    <w:rsid w:val="004A0C76"/>
    <w:rsid w:val="004F1705"/>
    <w:rsid w:val="00562F48"/>
    <w:rsid w:val="005710C9"/>
    <w:rsid w:val="00642FE1"/>
    <w:rsid w:val="006D51FA"/>
    <w:rsid w:val="006E2983"/>
    <w:rsid w:val="007D6F33"/>
    <w:rsid w:val="00924893"/>
    <w:rsid w:val="00A83A9A"/>
    <w:rsid w:val="00A87D78"/>
    <w:rsid w:val="00AB0BE5"/>
    <w:rsid w:val="00C05AB8"/>
    <w:rsid w:val="00CF444D"/>
    <w:rsid w:val="00D45100"/>
    <w:rsid w:val="00D576DF"/>
    <w:rsid w:val="00E12346"/>
    <w:rsid w:val="018E452E"/>
    <w:rsid w:val="028247F4"/>
    <w:rsid w:val="030C4DD5"/>
    <w:rsid w:val="0A743131"/>
    <w:rsid w:val="0EC8358F"/>
    <w:rsid w:val="12704669"/>
    <w:rsid w:val="14B9714E"/>
    <w:rsid w:val="15145780"/>
    <w:rsid w:val="16757268"/>
    <w:rsid w:val="1B2304CB"/>
    <w:rsid w:val="1C78246F"/>
    <w:rsid w:val="26260118"/>
    <w:rsid w:val="26836272"/>
    <w:rsid w:val="294C5091"/>
    <w:rsid w:val="2B2D4A51"/>
    <w:rsid w:val="2E5A1FFE"/>
    <w:rsid w:val="33B43C29"/>
    <w:rsid w:val="33C543BD"/>
    <w:rsid w:val="35A26038"/>
    <w:rsid w:val="367B5207"/>
    <w:rsid w:val="37AF33BA"/>
    <w:rsid w:val="3F1F63DE"/>
    <w:rsid w:val="427F7E2D"/>
    <w:rsid w:val="447A4D50"/>
    <w:rsid w:val="44E44DA0"/>
    <w:rsid w:val="46E172FA"/>
    <w:rsid w:val="4B9C610E"/>
    <w:rsid w:val="4C11447E"/>
    <w:rsid w:val="4D510618"/>
    <w:rsid w:val="4DA16EA9"/>
    <w:rsid w:val="50175B49"/>
    <w:rsid w:val="50697A27"/>
    <w:rsid w:val="521A722A"/>
    <w:rsid w:val="55D63DB0"/>
    <w:rsid w:val="584B45E2"/>
    <w:rsid w:val="60F10B96"/>
    <w:rsid w:val="61C77C1D"/>
    <w:rsid w:val="6608363B"/>
    <w:rsid w:val="675331DB"/>
    <w:rsid w:val="676F7BC1"/>
    <w:rsid w:val="6B5749EF"/>
    <w:rsid w:val="6BD12BF8"/>
    <w:rsid w:val="6E690CD6"/>
    <w:rsid w:val="6F125A01"/>
    <w:rsid w:val="6FB645DF"/>
    <w:rsid w:val="70182BA3"/>
    <w:rsid w:val="70BC241A"/>
    <w:rsid w:val="721963B1"/>
    <w:rsid w:val="786F5C73"/>
    <w:rsid w:val="78C74908"/>
    <w:rsid w:val="795F1843"/>
    <w:rsid w:val="7DFA5FDE"/>
    <w:rsid w:val="7E5E47BF"/>
    <w:rsid w:val="7F6A0F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11"/>
    <w:autoRedefine/>
    <w:qFormat/>
    <w:uiPriority w:val="0"/>
    <w:pPr>
      <w:keepNext/>
      <w:keepLines/>
      <w:spacing w:before="340" w:after="330" w:line="578" w:lineRule="auto"/>
      <w:outlineLvl w:val="0"/>
    </w:pPr>
    <w:rPr>
      <w:b/>
      <w:bCs/>
      <w:kern w:val="44"/>
      <w:sz w:val="44"/>
      <w:szCs w:val="44"/>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semiHidden/>
    <w:qFormat/>
    <w:uiPriority w:val="0"/>
    <w:rPr>
      <w:rFonts w:ascii="仿宋" w:hAnsi="仿宋" w:eastAsia="仿宋" w:cs="仿宋"/>
      <w:sz w:val="28"/>
      <w:szCs w:val="28"/>
    </w:rPr>
  </w:style>
  <w:style w:type="paragraph" w:styleId="4">
    <w:name w:val="footer"/>
    <w:basedOn w:val="1"/>
    <w:autoRedefine/>
    <w:qFormat/>
    <w:uiPriority w:val="0"/>
    <w:pPr>
      <w:tabs>
        <w:tab w:val="center" w:pos="4153"/>
        <w:tab w:val="right" w:pos="8306"/>
      </w:tabs>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msolistparagraph"/>
    <w:basedOn w:val="1"/>
    <w:autoRedefine/>
    <w:qFormat/>
    <w:uiPriority w:val="0"/>
    <w:pPr>
      <w:widowControl w:val="0"/>
      <w:ind w:firstLine="420" w:firstLineChars="200"/>
      <w:jc w:val="both"/>
    </w:pPr>
    <w:rPr>
      <w:rFonts w:ascii="Calibri" w:hAnsi="Calibri" w:eastAsia="宋体" w:cs="Times New Roman"/>
      <w:kern w:val="2"/>
      <w:szCs w:val="22"/>
      <w:lang w:eastAsia="zh-CN"/>
    </w:rPr>
  </w:style>
  <w:style w:type="paragraph" w:customStyle="1" w:styleId="10">
    <w:name w:val="修订1"/>
    <w:autoRedefine/>
    <w:hidden/>
    <w:unhideWhenUsed/>
    <w:qFormat/>
    <w:uiPriority w:val="99"/>
    <w:rPr>
      <w:rFonts w:ascii="Arial" w:hAnsi="Arial" w:eastAsia="Arial" w:cs="Arial"/>
      <w:snapToGrid w:val="0"/>
      <w:color w:val="000000"/>
      <w:sz w:val="21"/>
      <w:szCs w:val="21"/>
      <w:lang w:val="en-US" w:eastAsia="en-US" w:bidi="ar-SA"/>
    </w:rPr>
  </w:style>
  <w:style w:type="character" w:customStyle="1" w:styleId="11">
    <w:name w:val="标题 1 字符"/>
    <w:basedOn w:val="7"/>
    <w:link w:val="2"/>
    <w:autoRedefine/>
    <w:qFormat/>
    <w:uiPriority w:val="0"/>
    <w:rPr>
      <w:rFonts w:ascii="Arial" w:hAnsi="Arial" w:eastAsia="Arial" w:cs="Arial"/>
      <w:b/>
      <w:bCs/>
      <w:snapToGrid w:val="0"/>
      <w:color w:val="000000"/>
      <w:kern w:val="44"/>
      <w:sz w:val="44"/>
      <w:szCs w:val="44"/>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C51E71-A4E3-42C7-8DFB-24DD8AE3943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700</Words>
  <Characters>3996</Characters>
  <Lines>33</Lines>
  <Paragraphs>9</Paragraphs>
  <TotalTime>13</TotalTime>
  <ScaleCrop>false</ScaleCrop>
  <LinksUpToDate>false</LinksUpToDate>
  <CharactersWithSpaces>4687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2024-05-04T14:39:00Z</dcterms:created>
  <dc:creator>团委组织部</dc:creator>
  <cp:lastModifiedBy>王鹂</cp:lastModifiedBy>
  <cp:lastPrinted>2024-05-07T06:44:00Z</cp:lastPrinted>
  <dcterms:modified xsi:type="dcterms:W3CDTF">2024-05-07T13:17:36Z</dcterms:modified>
  <dc:title>校团发〔2012〕38号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2023-11-17T16:40:15Z</vt:filetime>
  </property>
  <property fmtid="{D5CDD505-2E9C-101B-9397-08002B2CF9AE}" pid="4" name="KSOProductBuildVer">
    <vt:lpwstr>2052-12.1.0.16729</vt:lpwstr>
  </property>
  <property fmtid="{D5CDD505-2E9C-101B-9397-08002B2CF9AE}" pid="5" name="ICV">
    <vt:lpwstr>E1C3DE26F12A4327A87D64655DE32D97_13</vt:lpwstr>
  </property>
</Properties>
</file>