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5D3B">
      <w:pPr>
        <w:pStyle w:val="37"/>
        <w:adjustRightInd w:val="0"/>
        <w:snapToGrid w:val="0"/>
        <w:spacing w:line="360" w:lineRule="auto"/>
        <w:jc w:val="left"/>
        <w:rPr>
          <w:rFonts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附件2：</w:t>
      </w:r>
    </w:p>
    <w:p w14:paraId="471A8DA7">
      <w:pPr>
        <w:pStyle w:val="37"/>
        <w:adjustRightInd w:val="0"/>
        <w:snapToGrid w:val="0"/>
        <w:spacing w:line="360" w:lineRule="auto"/>
      </w:pPr>
      <w:r>
        <w:t>北京科技大学提案大赛选题参考</w:t>
      </w:r>
    </w:p>
    <w:p w14:paraId="5FD71DF3">
      <w:pPr>
        <w:pStyle w:val="37"/>
        <w:adjustRightInd w:val="0"/>
        <w:snapToGrid w:val="0"/>
        <w:spacing w:line="360" w:lineRule="auto"/>
        <w:rPr>
          <w:rFonts w:hint="eastAsia" w:ascii="仿宋_GB2312" w:eastAsia="仿宋_GB2312"/>
          <w:b w:val="0"/>
          <w:sz w:val="28"/>
          <w:szCs w:val="28"/>
        </w:rPr>
      </w:pPr>
    </w:p>
    <w:p w14:paraId="0C24B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outlineLvl w:val="2"/>
        <w:rPr>
          <w:rFonts w:ascii="黑体" w:hAnsi="黑体" w:eastAsia="黑体" w:cs="宋体"/>
          <w:bCs/>
          <w:color w:val="000000"/>
          <w:kern w:val="0"/>
          <w:sz w:val="28"/>
          <w:szCs w:val="28"/>
          <w14:ligatures w14:val="none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14:ligatures w14:val="none"/>
        </w:rPr>
        <w:t>一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  <w14:ligatures w14:val="none"/>
        </w:rPr>
        <w:t>、社会创新发展</w:t>
      </w:r>
    </w:p>
    <w:p w14:paraId="3CE7AD5E">
      <w:pPr>
        <w:widowControl/>
        <w:adjustRightInd w:val="0"/>
        <w:snapToGrid w:val="0"/>
        <w:spacing w:after="0"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  <w:t>从国家战略和首都发展的高度出发，以推动社会创新和解决实际问题为目标，鼓励同学们关注前沿社会性问题并提出有实效性的方案，助力社会的全面进步。以下为细分参考方向：</w:t>
      </w:r>
    </w:p>
    <w:p w14:paraId="48CF03F9">
      <w:pPr>
        <w:widowControl/>
        <w:adjustRightInd w:val="0"/>
        <w:snapToGrid w:val="0"/>
        <w:spacing w:after="0" w:line="360" w:lineRule="auto"/>
        <w:ind w:firstLine="562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14:ligatures w14:val="none"/>
        </w:rPr>
        <w:t>1、文化与旅游融合发展</w:t>
      </w:r>
    </w:p>
    <w:p w14:paraId="2D349687">
      <w:pPr>
        <w:widowControl/>
        <w:adjustRightInd w:val="0"/>
        <w:snapToGrid w:val="0"/>
        <w:spacing w:after="0"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  <w:t>针对文化与旅游产业的协同发展需求，结合北京的历史和文化资源，提出具有首都特色的文旅融合发展方案，为国家文化软实力的提升构建可行性方案策略。</w:t>
      </w:r>
    </w:p>
    <w:p w14:paraId="76C496C7">
      <w:pPr>
        <w:widowControl/>
        <w:adjustRightInd w:val="0"/>
        <w:snapToGrid w:val="0"/>
        <w:spacing w:after="0" w:line="360" w:lineRule="auto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14:ligatures w14:val="none"/>
        </w:rPr>
        <w:t>2、青年科技人才发展支持</w:t>
      </w:r>
    </w:p>
    <w:p w14:paraId="5DD97306">
      <w:pPr>
        <w:widowControl/>
        <w:adjustRightInd w:val="0"/>
        <w:snapToGrid w:val="0"/>
        <w:spacing w:after="0"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  <w:t>针对青年科技人才的成长需求，优化青年人才引进、培养与支持政策，探索如何积极营造鼓励创新、包容失败的良好环境，从而构建更灵活的创新创业机制，增强国家在科技创新领域的竞争力。</w:t>
      </w:r>
    </w:p>
    <w:p w14:paraId="2465AE43">
      <w:pPr>
        <w:widowControl/>
        <w:adjustRightInd w:val="0"/>
        <w:snapToGrid w:val="0"/>
        <w:spacing w:after="0" w:line="360" w:lineRule="auto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14:ligatures w14:val="none"/>
        </w:rPr>
        <w:t>3、智慧城市与应急管理提升</w:t>
      </w:r>
    </w:p>
    <w:p w14:paraId="309D0983">
      <w:pPr>
        <w:widowControl/>
        <w:adjustRightInd w:val="0"/>
        <w:snapToGrid w:val="0"/>
        <w:spacing w:after="0"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14:ligatures w14:val="none"/>
        </w:rPr>
        <w:t>针对智慧城市建设，关注如何利用大数据、人工智能等前沿技术增强城市应急管理能力，探索智能化、信息化的社区管理与服务平台，如何提升居民生活便利性和公共服务效率，为城市建设提供可行性策略。</w:t>
      </w:r>
    </w:p>
    <w:p w14:paraId="1ED29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outlineLvl w:val="2"/>
        <w:rPr>
          <w:rFonts w:ascii="黑体" w:hAnsi="黑体" w:eastAsia="黑体" w:cs="宋体"/>
          <w:bCs/>
          <w:color w:val="000000"/>
          <w:kern w:val="0"/>
          <w:sz w:val="28"/>
          <w:szCs w:val="28"/>
          <w14:ligatures w14:val="none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14:ligatures w14:val="none"/>
        </w:rPr>
        <w:t>二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  <w14:ligatures w14:val="none"/>
        </w:rPr>
        <w:t>、校园生活提升</w:t>
      </w:r>
    </w:p>
    <w:p w14:paraId="299E9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lang w:eastAsia="zh-CN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围绕师生在校的日常生活与学习需求，以提升校园的舒适度、便利性、支持性为目标，主要涵盖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后勤服务优化和学生发展支持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两大方面，鼓励同学们从多角度提出改进建议，助力营造良好的校园生活环境。具体参考方向如下</w:t>
      </w:r>
      <w:r>
        <w:rPr>
          <w:rFonts w:hint="eastAsia" w:ascii="仿宋_GB2312" w:hAnsi="宋体" w:eastAsia="仿宋_GB2312" w:cs="宋体"/>
          <w:color w:val="000000"/>
          <w:kern w:val="0"/>
          <w:sz w:val="28"/>
          <w:lang w:eastAsia="zh-CN"/>
          <w14:ligatures w14:val="none"/>
        </w:rPr>
        <w:t>：</w:t>
      </w:r>
    </w:p>
    <w:p w14:paraId="2D17F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1、后勤服务优化</w:t>
      </w:r>
    </w:p>
    <w:p w14:paraId="5C5D87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后勤服务直接关系到师生在校的日常生活便利性与舒适度。围绕此类提案，同学们可以关注宿舍设施、食堂服务、校园环境等方面，通过优化资源配置与管理机制来提升校园生活质量。建议关注的选题包括：</w:t>
      </w:r>
    </w:p>
    <w:p w14:paraId="76562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1）宿舍设施改进：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涉及宿舍插头数量、公共洗漱间设施增设、晾衣区设置、公寓地下空间的合理利用等，帮助提升住宿便利性。</w:t>
      </w:r>
    </w:p>
    <w:p w14:paraId="551AA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）食堂服务提升：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从增加24小时窗口、小份饭菜选择、菜品保温方法等方面入手，满足不同作息和个性化的就餐需求。</w:t>
      </w:r>
    </w:p>
    <w:p w14:paraId="02591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）环境与公共设施管理：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关注垃圾分类的推行、外卖架安全性管理等，进一步完善校园环境的清洁和安全。</w:t>
      </w:r>
    </w:p>
    <w:p w14:paraId="2276B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4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）网络服务和资费优化：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针对校园网资费问题，提出合理的资费调整方案，为学生提供更便捷和经济的网络服务。</w:t>
      </w:r>
    </w:p>
    <w:p w14:paraId="265B6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2、学生发展支持</w:t>
      </w:r>
    </w:p>
    <w:p w14:paraId="24763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针对学生在学术、创新创业和个人发展等方面的需求。提案可围绕学习资源的合理利用、学习环境的优化等方面，提出切实可行的改进措施。建议关注的选题包括：</w:t>
      </w:r>
    </w:p>
    <w:p w14:paraId="6E84E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1）学术资源与学习空间优化：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包括图书馆选座系统的优化、开设考研专用通宵自习室等，帮助缓解学习空间压力，为学生提供更适合的学习场所。</w:t>
      </w:r>
    </w:p>
    <w:p w14:paraId="1CFCC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）创新创业教育支持：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提出创新创业教育与实践的需求，例如设立支持创新实践的活动和平台，帮助学生获取创业资源和经验。</w:t>
      </w:r>
    </w:p>
    <w:p w14:paraId="52255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）教学管理改进：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关注教学楼上下课拥挤问题，探索分流、调控措施，以提升教学楼内外的流通性和安全性。</w:t>
      </w:r>
    </w:p>
    <w:p w14:paraId="25679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4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14:ligatures w14:val="none"/>
        </w:rPr>
        <w:t>）科研资源利用效率：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14:ligatures w14:val="none"/>
        </w:rPr>
        <w:t>包括如何提高文献资料的获取和利用效果，为学生提供高效的学术资源支持。</w:t>
      </w:r>
      <w:bookmarkStart w:id="0" w:name="_GoBack"/>
      <w:bookmarkEnd w:id="0"/>
    </w:p>
    <w:sectPr>
      <w:footerReference r:id="rId5" w:type="default"/>
      <w:pgSz w:w="11906" w:h="16838"/>
      <w:pgMar w:top="1440" w:right="1418" w:bottom="1440" w:left="1418" w:header="851" w:footer="10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  <w:sz w:val="21"/>
        <w:szCs w:val="21"/>
      </w:rPr>
      <w:id w:val="1352840976"/>
      <w:docPartObj>
        <w:docPartGallery w:val="autotext"/>
      </w:docPartObj>
    </w:sdtPr>
    <w:sdtEndPr>
      <w:rPr>
        <w:rFonts w:hint="eastAsia" w:ascii="仿宋_GB2312" w:hAnsi="仿宋_GB2312" w:eastAsia="仿宋_GB2312" w:cs="仿宋_GB2312"/>
        <w:sz w:val="21"/>
        <w:szCs w:val="21"/>
      </w:rPr>
    </w:sdtEndPr>
    <w:sdtContent>
      <w:p w14:paraId="05B13E9D">
        <w:pPr>
          <w:pStyle w:val="11"/>
          <w:jc w:val="center"/>
          <w:rPr>
            <w:rFonts w:hint="eastAsia" w:ascii="仿宋_GB2312" w:eastAsia="仿宋_GB2312"/>
            <w:sz w:val="21"/>
          </w:rPr>
        </w:pP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begin"/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1"/>
            <w:szCs w:val="21"/>
            <w:lang w:val="zh-CN"/>
          </w:rPr>
          <w:t>2</w: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FC"/>
    <w:rsid w:val="0015771F"/>
    <w:rsid w:val="00636073"/>
    <w:rsid w:val="007A0851"/>
    <w:rsid w:val="007E6786"/>
    <w:rsid w:val="00997F96"/>
    <w:rsid w:val="009A6126"/>
    <w:rsid w:val="00BF4FDE"/>
    <w:rsid w:val="00F81DF5"/>
    <w:rsid w:val="00FA24FC"/>
    <w:rsid w:val="15C745A0"/>
    <w:rsid w:val="35B965B7"/>
    <w:rsid w:val="38825382"/>
    <w:rsid w:val="3FFB55D6"/>
    <w:rsid w:val="5C6E1ED0"/>
    <w:rsid w:val="658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正标题【25次学代会】"/>
    <w:basedOn w:val="1"/>
    <w:qFormat/>
    <w:uiPriority w:val="0"/>
    <w:pPr>
      <w:spacing w:after="0" w:line="240" w:lineRule="auto"/>
      <w:jc w:val="center"/>
    </w:pPr>
    <w:rPr>
      <w:rFonts w:ascii="华文中宋" w:hAnsi="华文中宋" w:eastAsia="华文中宋"/>
      <w:b/>
      <w:sz w:val="32"/>
      <w:szCs w:val="32"/>
      <w14:ligatures w14:val="none"/>
    </w:rPr>
  </w:style>
  <w:style w:type="character" w:customStyle="1" w:styleId="38">
    <w:name w:val="页眉 字符"/>
    <w:basedOn w:val="17"/>
    <w:link w:val="12"/>
    <w:uiPriority w:val="99"/>
    <w:rPr>
      <w:kern w:val="2"/>
      <w:sz w:val="18"/>
      <w:szCs w:val="18"/>
      <w14:ligatures w14:val="standardContextual"/>
    </w:rPr>
  </w:style>
  <w:style w:type="character" w:customStyle="1" w:styleId="39">
    <w:name w:val="页脚 字符"/>
    <w:basedOn w:val="17"/>
    <w:link w:val="11"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1097</Characters>
  <Lines>7</Lines>
  <Paragraphs>2</Paragraphs>
  <TotalTime>35</TotalTime>
  <ScaleCrop>false</ScaleCrop>
  <LinksUpToDate>false</LinksUpToDate>
  <CharactersWithSpaces>1097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2024-11-09T10:22:00Z</dcterms:created>
  <dc:creator>jun Yao</dc:creator>
  <cp:lastModifiedBy>信息文秘</cp:lastModifiedBy>
  <dcterms:modified xsi:type="dcterms:W3CDTF">2024-11-13T12:26:45Z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3BED7370D294495F97EE6A0812EC30D3_12</vt:lpwstr>
  </property>
</Properties>
</file>