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8D9A10">
      <w:pPr>
        <w:keepNext w:val="0"/>
        <w:keepLines w:val="0"/>
        <w:pageBreakBefore w:val="0"/>
        <w:widowControl w:val="0"/>
        <w:tabs>
          <w:tab w:val="left" w:pos="321"/>
          <w:tab w:val="center" w:pos="4212"/>
        </w:tabs>
        <w:kinsoku/>
        <w:wordWrap/>
        <w:overflowPunct/>
        <w:topLinePunct w:val="0"/>
        <w:autoSpaceDE/>
        <w:autoSpaceDN/>
        <w:bidi w:val="0"/>
        <w:adjustRightInd w:val="0"/>
        <w:snapToGrid w:val="0"/>
        <w:spacing w:line="360" w:lineRule="auto"/>
        <w:ind w:firstLine="0" w:firstLineChars="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附件3：</w:t>
      </w:r>
    </w:p>
    <w:p w14:paraId="712A00D8">
      <w:pPr>
        <w:keepNext w:val="0"/>
        <w:keepLines w:val="0"/>
        <w:pageBreakBefore w:val="0"/>
        <w:widowControl w:val="0"/>
        <w:tabs>
          <w:tab w:val="left" w:pos="321"/>
          <w:tab w:val="center" w:pos="4212"/>
        </w:tabs>
        <w:kinsoku/>
        <w:wordWrap/>
        <w:overflowPunct/>
        <w:topLinePunct w:val="0"/>
        <w:autoSpaceDE/>
        <w:autoSpaceDN/>
        <w:bidi w:val="0"/>
        <w:adjustRightInd w:val="0"/>
        <w:snapToGrid w:val="0"/>
        <w:spacing w:line="360" w:lineRule="auto"/>
        <w:jc w:val="center"/>
        <w:textAlignment w:val="auto"/>
        <w:rPr>
          <w:b/>
          <w:bCs/>
          <w:sz w:val="32"/>
          <w:szCs w:val="36"/>
        </w:rPr>
      </w:pPr>
      <w:r>
        <w:rPr>
          <w:rFonts w:hint="eastAsia" w:ascii="华文中宋" w:hAnsi="华文中宋" w:eastAsia="华文中宋" w:cs="华文中宋"/>
          <w:b/>
          <w:bCs/>
          <w:sz w:val="32"/>
          <w:szCs w:val="36"/>
        </w:rPr>
        <w:t>校团委组织部招新细则</w:t>
      </w:r>
    </w:p>
    <w:p w14:paraId="4AA4017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黑体" w:hAnsi="黑体" w:eastAsia="黑体" w:cs="黑体"/>
          <w:sz w:val="28"/>
          <w:szCs w:val="28"/>
        </w:rPr>
      </w:pPr>
      <w:r>
        <w:rPr>
          <w:rFonts w:hint="eastAsia" w:ascii="黑体" w:hAnsi="黑体" w:eastAsia="黑体" w:cs="黑体"/>
          <w:sz w:val="28"/>
          <w:szCs w:val="28"/>
        </w:rPr>
        <w:t>一、部门</w:t>
      </w:r>
      <w:r>
        <w:rPr>
          <w:rFonts w:hint="eastAsia" w:ascii="黑体" w:hAnsi="黑体" w:eastAsia="黑体" w:cs="黑体"/>
          <w:sz w:val="28"/>
          <w:szCs w:val="28"/>
          <w:lang w:eastAsia="zh-Hans"/>
        </w:rPr>
        <w:t>简介</w:t>
      </w:r>
    </w:p>
    <w:p w14:paraId="6D4C720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 w:eastAsia="仿宋_GB2312" w:cs="仿宋"/>
          <w:sz w:val="28"/>
          <w:szCs w:val="28"/>
        </w:rPr>
      </w:pPr>
      <w:r>
        <w:rPr>
          <w:rFonts w:hint="eastAsia" w:ascii="仿宋_GB2312" w:hAnsi="仿宋" w:eastAsia="仿宋_GB2312" w:cs="仿宋"/>
          <w:sz w:val="28"/>
          <w:szCs w:val="28"/>
        </w:rPr>
        <w:t>校团委组织部是共青团开展实施组织建设和组织管理的重要部门，以“引领青年思想，服务学生成长”为宗旨，主要负责学校共青团的思想引领、组织建设、团干部培养、团员队伍建设、基础团务等重要工作，不断完善基层团组织科学运行机制，健全学校团的基层制度体系，动员引领广大团员青年紧紧围绕中国式现代化这一主题，为强国建设、民族复兴伟业挺膺担当。</w:t>
      </w:r>
    </w:p>
    <w:p w14:paraId="5E2CAFE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 w:eastAsia="仿宋_GB2312" w:cs="仿宋"/>
          <w:sz w:val="28"/>
          <w:szCs w:val="28"/>
        </w:rPr>
      </w:pPr>
      <w:r>
        <w:rPr>
          <w:rFonts w:hint="eastAsia" w:ascii="仿宋_GB2312" w:hAnsi="仿宋" w:eastAsia="仿宋_GB2312" w:cs="仿宋"/>
          <w:sz w:val="28"/>
          <w:szCs w:val="28"/>
        </w:rPr>
        <w:t>其主要工作有：统筹开展主题教育，指导基层团组织常态化开展主题团日活动；建设好新形势下的学校共青团队伍，指导服务各级基层团组织建设工作；举办校院两级团学骨干团校，全面开展大学生骨干培养工作；落实学校青年马克思主义者培养工程，为党培养和输送坚定可靠、堪当大任的青年政治骨干；负责青年学生思想观察与引领工作，为学生健康成长成才提供坚实保障；举办校团委年度聘任大会，推进团支部和个人的评奖评优，评选“青年五四奖章”“十佳团支书”；承担党赋予的光荣使命，向党组织推荐优秀共青团员；着力构建校、院、班三级团组织联动机制，培养一批在聚焦伟大变革、推进伟大事业中冲锋在前、担当在前、奉献在前的新时代有志青年！</w:t>
      </w:r>
    </w:p>
    <w:p w14:paraId="20B6645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黑体" w:hAnsi="黑体" w:eastAsia="黑体" w:cs="黑体"/>
          <w:sz w:val="28"/>
          <w:szCs w:val="28"/>
        </w:rPr>
      </w:pPr>
      <w:r>
        <w:rPr>
          <w:rFonts w:hint="eastAsia" w:ascii="黑体" w:hAnsi="黑体" w:eastAsia="黑体" w:cs="黑体"/>
          <w:sz w:val="28"/>
          <w:szCs w:val="28"/>
        </w:rPr>
        <w:t>二、组别介绍</w:t>
      </w:r>
    </w:p>
    <w:p w14:paraId="1C6E3A19">
      <w:pPr>
        <w:pStyle w:val="10"/>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ascii="Times New Roman" w:hAnsi="Times New Roman"/>
          <w:sz w:val="28"/>
          <w:szCs w:val="24"/>
        </w:rPr>
      </w:pPr>
      <w:r>
        <w:rPr>
          <w:rFonts w:ascii="Times New Roman" w:hAnsi="Times New Roman"/>
          <w:sz w:val="28"/>
          <w:szCs w:val="24"/>
        </w:rPr>
        <w:t>骨干培养组</w:t>
      </w:r>
    </w:p>
    <w:p w14:paraId="03CA6798">
      <w:pPr>
        <w:pStyle w:val="11"/>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 w:eastAsia="仿宋_GB2312" w:cs="仿宋"/>
          <w:kern w:val="2"/>
          <w:sz w:val="28"/>
          <w:szCs w:val="28"/>
          <w:lang w:val="en-US" w:eastAsia="zh-CN" w:bidi="ar-SA"/>
          <w14:ligatures w14:val="standardContextual"/>
        </w:rPr>
      </w:pPr>
      <w:r>
        <w:rPr>
          <w:rFonts w:hint="eastAsia" w:ascii="仿宋_GB2312" w:hAnsi="仿宋" w:eastAsia="仿宋_GB2312" w:cs="仿宋"/>
          <w:kern w:val="2"/>
          <w:sz w:val="28"/>
          <w:szCs w:val="28"/>
          <w:lang w:val="en-US" w:eastAsia="zh-CN" w:bidi="ar-SA"/>
          <w14:ligatures w14:val="standardContextual"/>
        </w:rPr>
        <w:t>骨干培养组旨在为共青团培养青年人才骨干，工作内容包括青年马克思主义者培养工程（青马工程）、开办共青团学校、团委部门招新和团委聘任大会等。</w:t>
      </w:r>
    </w:p>
    <w:p w14:paraId="1724CE2C">
      <w:pPr>
        <w:pStyle w:val="11"/>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 w:eastAsia="仿宋_GB2312" w:cs="仿宋"/>
          <w:kern w:val="2"/>
          <w:sz w:val="28"/>
          <w:szCs w:val="28"/>
          <w:lang w:val="en-US" w:eastAsia="zh-CN" w:bidi="ar-SA"/>
          <w14:ligatures w14:val="standardContextual"/>
        </w:rPr>
      </w:pPr>
      <w:r>
        <w:rPr>
          <w:rFonts w:hint="eastAsia" w:ascii="仿宋_GB2312" w:hAnsi="仿宋" w:eastAsia="仿宋_GB2312" w:cs="仿宋"/>
          <w:kern w:val="2"/>
          <w:sz w:val="28"/>
          <w:szCs w:val="28"/>
          <w:lang w:val="en-US" w:eastAsia="zh-CN" w:bidi="ar-SA"/>
          <w14:ligatures w14:val="standardContextual"/>
        </w:rPr>
        <w:t>青马工程下辖“求实计划”“鼎新计划”“励志计划”“青柑计划”“青椒计划”和“研支团”六个项目，每个项目有不同的培养目标和培养特色，总体上通过理论课堂、红色实践、青年沙龙等方式培养一批听党话、跟党走、有理想、有本领的青年马克思主义者。</w:t>
      </w:r>
    </w:p>
    <w:p w14:paraId="63C77AE0">
      <w:pPr>
        <w:pStyle w:val="11"/>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 w:eastAsia="仿宋_GB2312" w:cs="仿宋"/>
          <w:kern w:val="2"/>
          <w:sz w:val="28"/>
          <w:szCs w:val="28"/>
          <w:lang w:val="en-US" w:eastAsia="zh-CN" w:bidi="ar-SA"/>
          <w14:ligatures w14:val="standardContextual"/>
        </w:rPr>
      </w:pPr>
      <w:r>
        <w:rPr>
          <w:rFonts w:hint="eastAsia" w:ascii="仿宋_GB2312" w:hAnsi="仿宋" w:eastAsia="仿宋_GB2312" w:cs="仿宋"/>
          <w:kern w:val="2"/>
          <w:sz w:val="28"/>
          <w:szCs w:val="28"/>
          <w:lang w:val="en-US" w:eastAsia="zh-CN" w:bidi="ar-SA"/>
          <w14:ligatures w14:val="standardContextual"/>
        </w:rPr>
        <w:t>共青团学校分为春季团学骨干团校和秋季新生班长团支书团校，通过理论学习、红色实践、技能培训和青年成长成才交流等方式为共青团培养一批思想积极、意志坚定的青年学生骨干。</w:t>
      </w:r>
    </w:p>
    <w:p w14:paraId="3BB7544A">
      <w:pPr>
        <w:pStyle w:val="11"/>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 w:eastAsia="仿宋_GB2312" w:cs="仿宋"/>
          <w:kern w:val="2"/>
          <w:sz w:val="28"/>
          <w:szCs w:val="28"/>
          <w:lang w:val="en-US" w:eastAsia="zh-CN" w:bidi="ar-SA"/>
          <w14:ligatures w14:val="standardContextual"/>
        </w:rPr>
      </w:pPr>
      <w:r>
        <w:rPr>
          <w:rFonts w:hint="eastAsia" w:ascii="仿宋_GB2312" w:hAnsi="仿宋" w:eastAsia="仿宋_GB2312" w:cs="仿宋"/>
          <w:kern w:val="2"/>
          <w:sz w:val="28"/>
          <w:szCs w:val="28"/>
          <w:lang w:val="en-US" w:eastAsia="zh-CN" w:bidi="ar-SA"/>
          <w14:ligatures w14:val="standardContextual"/>
        </w:rPr>
        <w:t xml:space="preserve">团委部门招新和聘任大会则推动着迎新送往、团情迭代，传承团委工作者的优秀精神，迎接团委新生力量，共同打造北科大团委的金字招牌，久久为功，驰而不息。 </w:t>
      </w:r>
    </w:p>
    <w:p w14:paraId="473029F5">
      <w:pPr>
        <w:pStyle w:val="10"/>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ascii="Times New Roman" w:hAnsi="Times New Roman"/>
          <w:sz w:val="28"/>
          <w:szCs w:val="24"/>
        </w:rPr>
      </w:pPr>
      <w:r>
        <w:rPr>
          <w:rFonts w:hint="eastAsia" w:ascii="Times New Roman" w:hAnsi="Times New Roman"/>
          <w:sz w:val="28"/>
          <w:szCs w:val="24"/>
        </w:rPr>
        <w:t>综合团务组</w:t>
      </w:r>
    </w:p>
    <w:p w14:paraId="2E93EC8F">
      <w:pPr>
        <w:pStyle w:val="11"/>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 w:eastAsia="仿宋_GB2312" w:cs="仿宋"/>
          <w:kern w:val="2"/>
          <w:sz w:val="28"/>
          <w:szCs w:val="28"/>
          <w:lang w:val="en-US" w:eastAsia="zh-CN" w:bidi="ar-SA"/>
          <w14:ligatures w14:val="standardContextual"/>
        </w:rPr>
      </w:pPr>
      <w:r>
        <w:rPr>
          <w:rFonts w:hint="eastAsia" w:ascii="仿宋_GB2312" w:hAnsi="仿宋" w:eastAsia="仿宋_GB2312" w:cs="仿宋"/>
          <w:kern w:val="2"/>
          <w:sz w:val="28"/>
          <w:szCs w:val="28"/>
          <w:lang w:val="en-US" w:eastAsia="zh-CN" w:bidi="ar-SA"/>
          <w14:ligatures w14:val="standardContextual"/>
        </w:rPr>
        <w:t>综合团务组主要负责团员发展、推优入党、团组织关系转接、团员信息统计、对标定级、团费收缴等工作。</w:t>
      </w:r>
    </w:p>
    <w:p w14:paraId="2887163B">
      <w:pPr>
        <w:pStyle w:val="11"/>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 w:eastAsia="仿宋_GB2312" w:cs="仿宋"/>
          <w:kern w:val="2"/>
          <w:sz w:val="28"/>
          <w:szCs w:val="28"/>
          <w:lang w:val="en-US" w:eastAsia="zh-CN" w:bidi="ar-SA"/>
          <w14:ligatures w14:val="standardContextual"/>
        </w:rPr>
      </w:pPr>
      <w:r>
        <w:rPr>
          <w:rFonts w:hint="eastAsia" w:ascii="仿宋_GB2312" w:hAnsi="仿宋" w:eastAsia="仿宋_GB2312" w:cs="仿宋"/>
          <w:kern w:val="2"/>
          <w:sz w:val="28"/>
          <w:szCs w:val="28"/>
          <w:lang w:val="en-US" w:eastAsia="zh-CN" w:bidi="ar-SA"/>
          <w14:ligatures w14:val="standardContextual"/>
        </w:rPr>
        <w:t>团员发展工作本着坚持标准、优化结构、提高质量、发挥作用的原则，始终把加强对青年的政治引领摆在首位，着力吸收各领域青年中有理想、敢担当、能吃苦、肯奋斗的先进分子入团。进一步优化发展团员工作流程，建立入团积极分子培养考察和综合评价制度、发展对象预审和公示制度、发展团员工作情况核查制度等，着力提高发展团员工作的科学性、规范化水平。</w:t>
      </w:r>
    </w:p>
    <w:p w14:paraId="4C88794A">
      <w:pPr>
        <w:pStyle w:val="11"/>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 w:eastAsia="仿宋_GB2312" w:cs="仿宋"/>
          <w:kern w:val="2"/>
          <w:sz w:val="28"/>
          <w:szCs w:val="28"/>
          <w:lang w:val="en-US" w:eastAsia="zh-CN" w:bidi="ar-SA"/>
          <w14:ligatures w14:val="standardContextual"/>
        </w:rPr>
      </w:pPr>
      <w:r>
        <w:rPr>
          <w:rFonts w:hint="eastAsia" w:ascii="仿宋_GB2312" w:hAnsi="仿宋" w:eastAsia="仿宋_GB2312" w:cs="仿宋"/>
          <w:kern w:val="2"/>
          <w:sz w:val="28"/>
          <w:szCs w:val="28"/>
          <w:lang w:val="en-US" w:eastAsia="zh-CN" w:bidi="ar-SA"/>
          <w14:ligatures w14:val="standardContextual"/>
        </w:rPr>
        <w:t>推优入党，即推荐优秀的中国共产主义青年团团员作为入党积极分子或中国共产党的发展对象。推优入党是党赋予共青团组织的一项光荣任务，是发挥共青团作为党的助手和后备军作用，不断为党输送新鲜血液，培养优秀的社会主义事业建设者和接班人的重要措施。多年来，已经形成了“时间统一、程序规范、形式生动、团员好评”的全校一体化的工作态势。</w:t>
      </w:r>
    </w:p>
    <w:p w14:paraId="58AC5A02">
      <w:pPr>
        <w:pStyle w:val="11"/>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 w:eastAsia="仿宋_GB2312" w:cs="仿宋"/>
          <w:kern w:val="2"/>
          <w:sz w:val="28"/>
          <w:szCs w:val="28"/>
          <w:lang w:val="en-US" w:eastAsia="zh-CN" w:bidi="ar-SA"/>
          <w14:ligatures w14:val="standardContextual"/>
        </w:rPr>
      </w:pPr>
      <w:r>
        <w:rPr>
          <w:rFonts w:hint="eastAsia" w:ascii="仿宋_GB2312" w:hAnsi="仿宋" w:eastAsia="仿宋_GB2312" w:cs="仿宋"/>
          <w:kern w:val="2"/>
          <w:sz w:val="28"/>
          <w:szCs w:val="28"/>
          <w:lang w:val="en-US" w:eastAsia="zh-CN" w:bidi="ar-SA"/>
          <w14:ligatures w14:val="standardContextual"/>
        </w:rPr>
        <w:t>同时加强基层团组织建设，促进基层团组织建设的科学化、规范化和制度化，积极探索信息化、电子化团籍管理，建设一支思想进步、作用明显、规模合理的团员队伍。</w:t>
      </w:r>
    </w:p>
    <w:p w14:paraId="00FC125B">
      <w:pPr>
        <w:pStyle w:val="10"/>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ascii="Times New Roman" w:hAnsi="Times New Roman"/>
          <w:sz w:val="20"/>
          <w:szCs w:val="21"/>
        </w:rPr>
      </w:pPr>
      <w:r>
        <w:rPr>
          <w:rFonts w:ascii="Times New Roman" w:hAnsi="Times New Roman"/>
          <w:sz w:val="28"/>
          <w:szCs w:val="24"/>
        </w:rPr>
        <w:t>青年评价组</w:t>
      </w:r>
    </w:p>
    <w:p w14:paraId="1AB1F2AC">
      <w:pPr>
        <w:pStyle w:val="11"/>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 w:eastAsia="仿宋_GB2312" w:cs="仿宋"/>
          <w:kern w:val="2"/>
          <w:sz w:val="28"/>
          <w:szCs w:val="28"/>
          <w:lang w:val="en-US" w:eastAsia="zh-CN" w:bidi="ar-SA"/>
          <w14:ligatures w14:val="standardContextual"/>
        </w:rPr>
      </w:pPr>
      <w:r>
        <w:rPr>
          <w:rFonts w:hint="eastAsia" w:ascii="仿宋_GB2312" w:hAnsi="仿宋" w:eastAsia="仿宋_GB2312" w:cs="仿宋"/>
          <w:kern w:val="2"/>
          <w:sz w:val="28"/>
          <w:szCs w:val="28"/>
          <w:lang w:val="en-US" w:eastAsia="zh-CN" w:bidi="ar-SA"/>
          <w14:ligatures w14:val="standardContextual"/>
        </w:rPr>
        <w:t>青年评价组主要负责开展班团换届、“优秀共青团员”“优秀共青团干部”评选、“十佳团支书”评选、“青年五四奖章”评选、北京市“两红两优”评选、“自强之星”评选、“先锋杯”评选、五四表彰大会与共青团考核等。</w:t>
      </w:r>
    </w:p>
    <w:p w14:paraId="71EA95C2">
      <w:pPr>
        <w:pStyle w:val="11"/>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 w:eastAsia="仿宋_GB2312" w:cs="仿宋"/>
          <w:kern w:val="2"/>
          <w:sz w:val="28"/>
          <w:szCs w:val="28"/>
          <w:lang w:val="en-US" w:eastAsia="zh-CN" w:bidi="ar-SA"/>
          <w14:ligatures w14:val="standardContextual"/>
        </w:rPr>
      </w:pPr>
      <w:r>
        <w:rPr>
          <w:rFonts w:hint="eastAsia" w:ascii="仿宋_GB2312" w:hAnsi="仿宋" w:eastAsia="仿宋_GB2312" w:cs="仿宋"/>
          <w:kern w:val="2"/>
          <w:sz w:val="28"/>
          <w:szCs w:val="28"/>
          <w:lang w:val="en-US" w:eastAsia="zh-CN" w:bidi="ar-SA"/>
          <w14:ligatures w14:val="standardContextual"/>
        </w:rPr>
        <w:t>“十佳团支书”评选设置二级团组织推荐、理论知识测试、现场答辩三个环节，在全校范围内选树先进团支部书记典型。评选旨在深入推进基层团组织规范化建设，加强优秀基层团干部之间的交流与学习，提升基层团支部书记的工作活力。</w:t>
      </w:r>
    </w:p>
    <w:p w14:paraId="3A73EC5B">
      <w:pPr>
        <w:pStyle w:val="11"/>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 w:eastAsia="仿宋_GB2312" w:cs="仿宋"/>
          <w:kern w:val="2"/>
          <w:sz w:val="28"/>
          <w:szCs w:val="28"/>
          <w:lang w:val="en-US" w:eastAsia="zh-CN" w:bidi="ar-SA"/>
          <w14:ligatures w14:val="standardContextual"/>
        </w:rPr>
      </w:pPr>
      <w:r>
        <w:rPr>
          <w:rFonts w:hint="eastAsia" w:ascii="仿宋_GB2312" w:hAnsi="仿宋" w:eastAsia="仿宋_GB2312" w:cs="仿宋"/>
          <w:kern w:val="2"/>
          <w:sz w:val="28"/>
          <w:szCs w:val="28"/>
          <w:lang w:val="en-US" w:eastAsia="zh-CN" w:bidi="ar-SA"/>
          <w14:ligatures w14:val="standardContextual"/>
        </w:rPr>
        <w:t>五四表彰大会通过对“五四红旗团委”获得集体、“优秀二级团组织书记”获得者、“共青团工作专项奖”获得集体进行颁奖，旨在营造崇尚先进、学习先进的良好氛围，激励和引导我校青年继承和发扬五四精神。</w:t>
      </w:r>
    </w:p>
    <w:p w14:paraId="4BC0E2A4">
      <w:pPr>
        <w:pStyle w:val="11"/>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 w:eastAsia="仿宋_GB2312" w:cs="仿宋"/>
          <w:kern w:val="2"/>
          <w:sz w:val="28"/>
          <w:szCs w:val="28"/>
          <w:lang w:val="en-US" w:eastAsia="zh-CN" w:bidi="ar-SA"/>
          <w14:ligatures w14:val="standardContextual"/>
        </w:rPr>
      </w:pPr>
      <w:r>
        <w:rPr>
          <w:rFonts w:hint="eastAsia" w:ascii="仿宋_GB2312" w:hAnsi="仿宋" w:eastAsia="仿宋_GB2312" w:cs="仿宋"/>
          <w:kern w:val="2"/>
          <w:sz w:val="28"/>
          <w:szCs w:val="28"/>
          <w:lang w:val="en-US" w:eastAsia="zh-CN" w:bidi="ar-SA"/>
          <w14:ligatures w14:val="standardContextual"/>
        </w:rPr>
        <w:t>“优秀共青团员”“优秀共青团干部”评选通过选树政治坚定，思想进步，作风优良的共青团员、团干部，发挥榜样教育作用，</w:t>
      </w:r>
    </w:p>
    <w:p w14:paraId="004C470E">
      <w:pPr>
        <w:pStyle w:val="11"/>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 w:eastAsia="仿宋_GB2312" w:cs="仿宋"/>
          <w:kern w:val="2"/>
          <w:sz w:val="28"/>
          <w:szCs w:val="28"/>
          <w:lang w:val="en-US" w:eastAsia="zh-CN" w:bidi="ar-SA"/>
          <w14:ligatures w14:val="standardContextual"/>
        </w:rPr>
      </w:pPr>
      <w:r>
        <w:rPr>
          <w:rFonts w:hint="eastAsia" w:ascii="仿宋_GB2312" w:hAnsi="仿宋" w:eastAsia="仿宋_GB2312" w:cs="仿宋"/>
          <w:kern w:val="2"/>
          <w:sz w:val="28"/>
          <w:szCs w:val="28"/>
          <w:lang w:val="en-US" w:eastAsia="zh-CN" w:bidi="ar-SA"/>
          <w14:ligatures w14:val="standardContextual"/>
        </w:rPr>
        <w:t>年度共青团考核工作是按照全面推进学校共青团事业科学发展的总体要求，对学校共青团年度工作要点进行分解，并结合二级团组织共青团工作实际，针对组织建设、思想引领、社会实践、劳动教育与志愿服务、创新创业、文体活动、青年教师团工委、助力工程、新闻宣传制度各方面基本工作，设立若干观测点指标、通过公开述职评议进行全面考核评价。活动旨在提升共青团工作的科学化水平和对学校发展、学生成长的整体贡献力。</w:t>
      </w:r>
    </w:p>
    <w:p w14:paraId="1C5081DE">
      <w:pPr>
        <w:pStyle w:val="10"/>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ascii="Times New Roman" w:hAnsi="Times New Roman"/>
          <w:sz w:val="28"/>
          <w:szCs w:val="24"/>
        </w:rPr>
      </w:pPr>
      <w:r>
        <w:rPr>
          <w:rFonts w:hint="eastAsia" w:ascii="Times New Roman" w:hAnsi="Times New Roman"/>
          <w:sz w:val="28"/>
          <w:szCs w:val="24"/>
        </w:rPr>
        <w:t>思想引领</w:t>
      </w:r>
      <w:r>
        <w:rPr>
          <w:rFonts w:ascii="Times New Roman" w:hAnsi="Times New Roman"/>
          <w:sz w:val="28"/>
          <w:szCs w:val="24"/>
        </w:rPr>
        <w:t>组</w:t>
      </w:r>
    </w:p>
    <w:p w14:paraId="290DB41F">
      <w:pPr>
        <w:pStyle w:val="11"/>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 w:eastAsia="仿宋_GB2312" w:cs="仿宋"/>
          <w:kern w:val="2"/>
          <w:sz w:val="28"/>
          <w:szCs w:val="28"/>
          <w:lang w:val="en-US" w:eastAsia="zh-CN" w:bidi="ar-SA"/>
          <w14:ligatures w14:val="standardContextual"/>
        </w:rPr>
      </w:pPr>
      <w:r>
        <w:rPr>
          <w:rFonts w:hint="eastAsia" w:ascii="仿宋_GB2312" w:hAnsi="仿宋" w:eastAsia="仿宋_GB2312" w:cs="仿宋"/>
          <w:kern w:val="2"/>
          <w:sz w:val="28"/>
          <w:szCs w:val="28"/>
          <w:lang w:val="en-US" w:eastAsia="zh-CN" w:bidi="ar-SA"/>
          <w14:ligatures w14:val="standardContextual"/>
        </w:rPr>
        <w:t>思想引领组主要负责主题教育、主题团日活动以及青年师生思想动态调研。</w:t>
      </w:r>
    </w:p>
    <w:p w14:paraId="46915C7A">
      <w:pPr>
        <w:pStyle w:val="11"/>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 w:eastAsia="仿宋_GB2312" w:cs="仿宋"/>
          <w:kern w:val="2"/>
          <w:sz w:val="28"/>
          <w:szCs w:val="28"/>
          <w:lang w:val="en-US" w:eastAsia="zh-CN" w:bidi="ar-SA"/>
          <w14:ligatures w14:val="standardContextual"/>
        </w:rPr>
      </w:pPr>
      <w:r>
        <w:rPr>
          <w:rFonts w:hint="eastAsia" w:ascii="仿宋_GB2312" w:hAnsi="仿宋" w:eastAsia="仿宋_GB2312" w:cs="仿宋"/>
          <w:kern w:val="2"/>
          <w:sz w:val="28"/>
          <w:szCs w:val="28"/>
          <w:lang w:val="en-US" w:eastAsia="zh-CN" w:bidi="ar-SA"/>
          <w14:ligatures w14:val="standardContextual"/>
        </w:rPr>
        <w:t>结合重大时间节点开展主题教育，引导广大团员青年深刻领悟“两个确立”的决定性意义，坚决做到“两个维护”，引导团员和青年认真学习领会新时代中国特色社会主义思想，努力掌握这一科学思想的世界观和方法论，善于运用贯穿其中的立场观点方法分析问题，提高对党的基本理论、基本路线、基本方略的领悟力。</w:t>
      </w:r>
    </w:p>
    <w:p w14:paraId="53AC8E90">
      <w:pPr>
        <w:pStyle w:val="11"/>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 w:eastAsia="仿宋_GB2312" w:cs="仿宋"/>
          <w:kern w:val="2"/>
          <w:sz w:val="28"/>
          <w:szCs w:val="28"/>
          <w:lang w:val="en-US" w:eastAsia="zh-CN" w:bidi="ar-SA"/>
          <w14:ligatures w14:val="standardContextual"/>
        </w:rPr>
      </w:pPr>
      <w:r>
        <w:rPr>
          <w:rFonts w:hint="eastAsia" w:ascii="仿宋_GB2312" w:hAnsi="仿宋" w:eastAsia="仿宋_GB2312" w:cs="仿宋"/>
          <w:kern w:val="2"/>
          <w:sz w:val="28"/>
          <w:szCs w:val="28"/>
          <w:lang w:val="en-US" w:eastAsia="zh-CN" w:bidi="ar-SA"/>
          <w14:ligatures w14:val="standardContextual"/>
        </w:rPr>
        <w:t>指导基层团组织常态化开展主题团日活动。主题团日活动设置“双菜单”模式，包括理论学习菜单和成长提升菜单两部分，针对各专业、年级建立不同活动内容及形式，创造性引领各团支部开展主题突出、特色鲜明、形式多样的班团日活动，通过启发创新性设计，将思想性、教育性、知识性和趣味性融于一体，使青年进一步强化理想信念。并定期对基层团组织的主题团日活动进行监督和评估，确保活动质量和效果。</w:t>
      </w:r>
    </w:p>
    <w:p w14:paraId="617DF186">
      <w:pPr>
        <w:pStyle w:val="11"/>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 w:eastAsia="仿宋_GB2312" w:cs="仿宋"/>
          <w:kern w:val="2"/>
          <w:sz w:val="28"/>
          <w:szCs w:val="28"/>
          <w:lang w:val="en-US" w:eastAsia="zh-CN" w:bidi="ar-SA"/>
          <w14:ligatures w14:val="standardContextual"/>
        </w:rPr>
      </w:pPr>
      <w:r>
        <w:rPr>
          <w:rFonts w:hint="eastAsia" w:ascii="仿宋_GB2312" w:hAnsi="仿宋" w:eastAsia="仿宋_GB2312" w:cs="仿宋"/>
          <w:kern w:val="2"/>
          <w:sz w:val="28"/>
          <w:szCs w:val="28"/>
          <w:lang w:val="en-US" w:eastAsia="zh-CN" w:bidi="ar-SA"/>
          <w14:ligatures w14:val="standardContextual"/>
        </w:rPr>
        <w:t>青年师生思想动态调研主要采用问卷调查、深度访谈、座谈会等多种形式，及时了解青年思想动态，努力帮助青年解决学习、工作、生活中的急难愁盼。</w:t>
      </w:r>
    </w:p>
    <w:p w14:paraId="1334E0E0">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黑体" w:hAnsi="黑体" w:eastAsia="黑体" w:cs="黑体"/>
          <w:sz w:val="28"/>
          <w:szCs w:val="28"/>
        </w:rPr>
      </w:pPr>
      <w:r>
        <w:rPr>
          <w:rFonts w:hint="eastAsia" w:ascii="黑体" w:hAnsi="黑体" w:eastAsia="黑体" w:cs="黑体"/>
          <w:sz w:val="28"/>
          <w:szCs w:val="28"/>
          <w:lang w:val="en-US" w:eastAsia="zh-CN"/>
        </w:rPr>
        <w:t>三</w:t>
      </w:r>
      <w:r>
        <w:rPr>
          <w:rFonts w:hint="eastAsia" w:ascii="黑体" w:hAnsi="黑体" w:eastAsia="黑体" w:cs="黑体"/>
          <w:sz w:val="28"/>
          <w:szCs w:val="28"/>
        </w:rPr>
        <w:t>、报名方式</w:t>
      </w:r>
    </w:p>
    <w:p w14:paraId="40E7F2C4">
      <w:pPr>
        <w:pStyle w:val="7"/>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_GB2312" w:hAnsi="仿宋" w:eastAsia="仿宋_GB2312" w:cs="仿宋"/>
          <w:sz w:val="28"/>
          <w:szCs w:val="28"/>
        </w:rPr>
      </w:pPr>
      <w:r>
        <w:rPr>
          <w:rFonts w:hint="eastAsia" w:ascii="仿宋_GB2312" w:hAnsi="仿宋_GB2312" w:eastAsia="仿宋_GB2312" w:cs="仿宋_GB2312"/>
          <w:sz w:val="28"/>
          <w:szCs w:val="28"/>
        </w:rPr>
        <w:t>扫描下方二维码</w:t>
      </w:r>
      <w:r>
        <w:rPr>
          <w:rFonts w:hint="eastAsia" w:ascii="仿宋_GB2312" w:hAnsi="仿宋_GB2312" w:eastAsia="仿宋_GB2312" w:cs="仿宋_GB2312"/>
          <w:sz w:val="28"/>
          <w:szCs w:val="28"/>
          <w:lang w:eastAsia="zh-Hans"/>
        </w:rPr>
        <w:t>填写问卷</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截止时间为3月6日（周四）中午12:00。</w:t>
      </w:r>
    </w:p>
    <w:p w14:paraId="7A541552">
      <w:pPr>
        <w:pStyle w:val="7"/>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仿宋_GB2312" w:hAnsi="仿宋" w:eastAsia="仿宋_GB2312" w:cs="仿宋"/>
          <w:sz w:val="28"/>
          <w:szCs w:val="28"/>
          <w:lang w:eastAsia="zh-Hans"/>
        </w:rPr>
      </w:pPr>
      <w:r>
        <w:rPr>
          <w:rFonts w:hint="eastAsia" w:ascii="仿宋_GB2312" w:hAnsi="仿宋" w:eastAsia="仿宋_GB2312" w:cs="仿宋"/>
          <w:sz w:val="28"/>
          <w:szCs w:val="28"/>
        </w:rPr>
        <w:drawing>
          <wp:inline distT="0" distB="0" distL="0" distR="0">
            <wp:extent cx="1898650" cy="1924050"/>
            <wp:effectExtent l="0" t="0" r="0" b="0"/>
            <wp:docPr id="1466323402" name="图片 1" descr="D:/Desktop/dda06f2f94b4854fdd10ef21a25adc1.jpgdda06f2f94b4854fdd10ef21a25adc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6323402" name="图片 1" descr="D:/Desktop/dda06f2f94b4854fdd10ef21a25adc1.jpgdda06f2f94b4854fdd10ef21a25adc1"/>
                    <pic:cNvPicPr>
                      <a:picLocks noChangeAspect="1" noChangeArrowheads="1"/>
                    </pic:cNvPicPr>
                  </pic:nvPicPr>
                  <pic:blipFill>
                    <a:blip r:embed="rId5"/>
                    <a:srcRect l="2573" r="1287"/>
                    <a:stretch>
                      <a:fillRect/>
                    </a:stretch>
                  </pic:blipFill>
                  <pic:spPr>
                    <a:xfrm>
                      <a:off x="0" y="0"/>
                      <a:ext cx="1898650" cy="1924050"/>
                    </a:xfrm>
                    <a:prstGeom prst="rect">
                      <a:avLst/>
                    </a:prstGeom>
                    <a:noFill/>
                    <a:ln>
                      <a:noFill/>
                    </a:ln>
                  </pic:spPr>
                </pic:pic>
              </a:graphicData>
            </a:graphic>
          </wp:inline>
        </w:drawing>
      </w:r>
    </w:p>
    <w:p w14:paraId="12B9219C">
      <w:pPr>
        <w:pStyle w:val="7"/>
        <w:keepNext w:val="0"/>
        <w:keepLines w:val="0"/>
        <w:pageBreakBefore w:val="0"/>
        <w:widowControl w:val="0"/>
        <w:kinsoku/>
        <w:wordWrap/>
        <w:overflowPunct/>
        <w:topLinePunct w:val="0"/>
        <w:autoSpaceDE/>
        <w:autoSpaceDN/>
        <w:bidi w:val="0"/>
        <w:adjustRightInd w:val="0"/>
        <w:snapToGrid w:val="0"/>
        <w:spacing w:line="360" w:lineRule="auto"/>
        <w:ind w:firstLine="562"/>
        <w:jc w:val="both"/>
        <w:textAlignment w:val="auto"/>
        <w:rPr>
          <w:rFonts w:hint="eastAsia" w:ascii="仿宋_GB2312" w:hAnsi="仿宋_GB2312" w:eastAsia="仿宋_GB2312" w:cs="仿宋_GB2312"/>
          <w:sz w:val="28"/>
          <w:szCs w:val="28"/>
          <w:lang w:eastAsia="zh-Hans"/>
        </w:rPr>
      </w:pPr>
      <w:r>
        <w:rPr>
          <w:rFonts w:hint="eastAsia" w:ascii="仿宋_GB2312" w:hAnsi="仿宋_GB2312" w:eastAsia="仿宋_GB2312" w:cs="仿宋_GB2312"/>
          <w:b/>
          <w:bCs/>
          <w:sz w:val="28"/>
          <w:szCs w:val="28"/>
          <w:lang w:eastAsia="zh-Hans"/>
        </w:rPr>
        <w:t>联系方式：</w:t>
      </w:r>
      <w:r>
        <w:rPr>
          <w:rFonts w:hint="eastAsia" w:ascii="仿宋_GB2312" w:hAnsi="仿宋_GB2312" w:eastAsia="仿宋_GB2312" w:cs="仿宋_GB2312"/>
          <w:sz w:val="28"/>
          <w:szCs w:val="28"/>
          <w:lang w:eastAsia="zh-Hans"/>
        </w:rPr>
        <w:t>010-62333714</w:t>
      </w:r>
    </w:p>
    <w:p w14:paraId="4B4593E4">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ascii="仿宋_GB2312" w:hAnsi="仿宋" w:eastAsia="仿宋_GB2312" w:cs="仿宋"/>
          <w:sz w:val="28"/>
          <w:szCs w:val="28"/>
        </w:rPr>
      </w:pPr>
    </w:p>
    <w:p w14:paraId="36AD73D8">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ascii="仿宋" w:hAnsi="仿宋" w:eastAsia="仿宋" w:cs="仿宋"/>
          <w:sz w:val="28"/>
          <w:szCs w:val="28"/>
        </w:rPr>
      </w:pPr>
    </w:p>
    <w:p w14:paraId="24461C3A">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ascii="仿宋" w:hAnsi="仿宋" w:eastAsia="仿宋" w:cs="仿宋"/>
          <w:sz w:val="28"/>
          <w:szCs w:val="28"/>
        </w:rPr>
      </w:pPr>
      <w:bookmarkStart w:id="0" w:name="_GoBack"/>
      <w:bookmarkEnd w:id="0"/>
    </w:p>
    <w:p w14:paraId="77F32FE5">
      <w:pPr>
        <w:keepNext w:val="0"/>
        <w:keepLines w:val="0"/>
        <w:pageBreakBefore w:val="0"/>
        <w:kinsoku/>
        <w:wordWrap/>
        <w:overflowPunct/>
        <w:topLinePunct w:val="0"/>
        <w:autoSpaceDE/>
        <w:autoSpaceDN/>
        <w:bidi w:val="0"/>
        <w:adjustRightInd w:val="0"/>
        <w:snapToGrid w:val="0"/>
        <w:spacing w:line="360" w:lineRule="auto"/>
        <w:jc w:val="center"/>
        <w:textAlignment w:val="auto"/>
        <w:rPr>
          <w:rFonts w:ascii="华文中宋" w:hAnsi="华文中宋" w:eastAsia="华文中宋" w:cs="华文中宋"/>
          <w:b/>
          <w:bCs/>
          <w:sz w:val="32"/>
          <w:szCs w:val="32"/>
        </w:rPr>
      </w:pPr>
      <w:r>
        <w:rPr>
          <w:rFonts w:hint="eastAsia" w:ascii="华文中宋" w:hAnsi="华文中宋" w:eastAsia="华文中宋" w:cs="华文中宋"/>
          <w:b/>
          <w:bCs/>
          <w:sz w:val="32"/>
          <w:szCs w:val="32"/>
        </w:rPr>
        <w:t>校团委</w:t>
      </w:r>
      <w:r>
        <w:rPr>
          <w:rFonts w:hint="eastAsia" w:ascii="华文中宋" w:hAnsi="华文中宋" w:eastAsia="华文中宋" w:cs="华文中宋"/>
          <w:b/>
          <w:bCs/>
          <w:sz w:val="32"/>
          <w:szCs w:val="32"/>
          <w:lang w:val="en-US" w:eastAsia="zh-CN"/>
        </w:rPr>
        <w:t>组织部</w:t>
      </w:r>
      <w:r>
        <w:rPr>
          <w:rFonts w:hint="default" w:ascii="Times New Roman" w:hAnsi="Times New Roman" w:eastAsia="华文中宋" w:cs="Times New Roman"/>
          <w:b/>
          <w:bCs/>
          <w:sz w:val="32"/>
          <w:szCs w:val="32"/>
        </w:rPr>
        <w:t>202</w:t>
      </w:r>
      <w:r>
        <w:rPr>
          <w:rFonts w:hint="default" w:ascii="Times New Roman" w:hAnsi="Times New Roman" w:eastAsia="华文中宋" w:cs="Times New Roman"/>
          <w:b/>
          <w:bCs/>
          <w:sz w:val="32"/>
          <w:szCs w:val="32"/>
          <w:lang w:val="en-US" w:eastAsia="zh-CN"/>
        </w:rPr>
        <w:t>4</w:t>
      </w:r>
      <w:r>
        <w:rPr>
          <w:rFonts w:hint="default" w:ascii="Times New Roman" w:hAnsi="Times New Roman" w:eastAsia="华文中宋" w:cs="Times New Roman"/>
          <w:b/>
          <w:bCs/>
          <w:sz w:val="32"/>
          <w:szCs w:val="32"/>
        </w:rPr>
        <w:t>-202</w:t>
      </w:r>
      <w:r>
        <w:rPr>
          <w:rFonts w:hint="default" w:ascii="Times New Roman" w:hAnsi="Times New Roman" w:eastAsia="华文中宋" w:cs="Times New Roman"/>
          <w:b/>
          <w:bCs/>
          <w:sz w:val="32"/>
          <w:szCs w:val="32"/>
          <w:lang w:val="en-US" w:eastAsia="zh-CN"/>
        </w:rPr>
        <w:t>5</w:t>
      </w:r>
      <w:r>
        <w:rPr>
          <w:rFonts w:hint="eastAsia" w:ascii="华文中宋" w:hAnsi="华文中宋" w:eastAsia="华文中宋" w:cs="华文中宋"/>
          <w:b/>
          <w:bCs/>
          <w:sz w:val="32"/>
          <w:szCs w:val="32"/>
        </w:rPr>
        <w:t>学年第</w:t>
      </w:r>
      <w:r>
        <w:rPr>
          <w:rFonts w:hint="eastAsia" w:ascii="华文中宋" w:hAnsi="华文中宋" w:eastAsia="华文中宋" w:cs="华文中宋"/>
          <w:b/>
          <w:bCs/>
          <w:sz w:val="32"/>
          <w:szCs w:val="32"/>
          <w:lang w:val="en-US" w:eastAsia="zh-CN"/>
        </w:rPr>
        <w:t>二</w:t>
      </w:r>
      <w:r>
        <w:rPr>
          <w:rFonts w:hint="eastAsia" w:ascii="华文中宋" w:hAnsi="华文中宋" w:eastAsia="华文中宋" w:cs="华文中宋"/>
          <w:b/>
          <w:bCs/>
          <w:sz w:val="32"/>
          <w:szCs w:val="32"/>
        </w:rPr>
        <w:t>学期招新报名表</w:t>
      </w:r>
    </w:p>
    <w:tbl>
      <w:tblPr>
        <w:tblStyle w:val="4"/>
        <w:tblW w:w="5654"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autofit"/>
        <w:tblCellMar>
          <w:top w:w="0" w:type="dxa"/>
          <w:left w:w="108" w:type="dxa"/>
          <w:bottom w:w="0" w:type="dxa"/>
          <w:right w:w="108" w:type="dxa"/>
        </w:tblCellMar>
      </w:tblPr>
      <w:tblGrid>
        <w:gridCol w:w="853"/>
        <w:gridCol w:w="1374"/>
        <w:gridCol w:w="2519"/>
        <w:gridCol w:w="1698"/>
        <w:gridCol w:w="2242"/>
        <w:gridCol w:w="1817"/>
      </w:tblGrid>
      <w:tr w14:paraId="2D0F2D2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381" w:hRule="atLeast"/>
          <w:jc w:val="center"/>
        </w:trPr>
        <w:tc>
          <w:tcPr>
            <w:tcW w:w="406" w:type="pct"/>
            <w:vMerge w:val="restart"/>
            <w:vAlign w:val="center"/>
          </w:tcPr>
          <w:p w14:paraId="7B273D29">
            <w:pPr>
              <w:keepNext w:val="0"/>
              <w:keepLines w:val="0"/>
              <w:pageBreakBefore w:val="0"/>
              <w:kinsoku/>
              <w:wordWrap/>
              <w:overflowPunct/>
              <w:topLinePunct w:val="0"/>
              <w:autoSpaceDE/>
              <w:autoSpaceDN/>
              <w:bidi w:val="0"/>
              <w:adjustRightInd w:val="0"/>
              <w:snapToGrid w:val="0"/>
              <w:spacing w:line="360" w:lineRule="auto"/>
              <w:textAlignment w:val="auto"/>
              <w:rPr>
                <w:rFonts w:ascii="仿宋_GB2312" w:hAnsi="仿宋" w:eastAsia="仿宋_GB2312"/>
                <w:b w:val="0"/>
                <w:bCs w:val="0"/>
                <w:sz w:val="24"/>
                <w:szCs w:val="24"/>
              </w:rPr>
            </w:pPr>
            <w:r>
              <w:rPr>
                <w:rFonts w:hint="eastAsia" w:ascii="仿宋_GB2312" w:hAnsi="仿宋" w:eastAsia="仿宋_GB2312"/>
                <w:b w:val="0"/>
                <w:bCs w:val="0"/>
                <w:sz w:val="24"/>
                <w:szCs w:val="24"/>
              </w:rPr>
              <w:t>个人</w:t>
            </w:r>
          </w:p>
          <w:p w14:paraId="1011EF63">
            <w:pPr>
              <w:keepNext w:val="0"/>
              <w:keepLines w:val="0"/>
              <w:pageBreakBefore w:val="0"/>
              <w:kinsoku/>
              <w:wordWrap/>
              <w:overflowPunct/>
              <w:topLinePunct w:val="0"/>
              <w:autoSpaceDE/>
              <w:autoSpaceDN/>
              <w:bidi w:val="0"/>
              <w:adjustRightInd w:val="0"/>
              <w:snapToGrid w:val="0"/>
              <w:spacing w:line="360" w:lineRule="auto"/>
              <w:textAlignment w:val="auto"/>
              <w:rPr>
                <w:rFonts w:ascii="仿宋_GB2312" w:hAnsi="仿宋" w:eastAsia="仿宋_GB2312"/>
                <w:b w:val="0"/>
                <w:bCs w:val="0"/>
                <w:sz w:val="24"/>
                <w:szCs w:val="24"/>
              </w:rPr>
            </w:pPr>
          </w:p>
          <w:p w14:paraId="1F416ADF">
            <w:pPr>
              <w:keepNext w:val="0"/>
              <w:keepLines w:val="0"/>
              <w:pageBreakBefore w:val="0"/>
              <w:kinsoku/>
              <w:wordWrap/>
              <w:overflowPunct/>
              <w:topLinePunct w:val="0"/>
              <w:autoSpaceDE/>
              <w:autoSpaceDN/>
              <w:bidi w:val="0"/>
              <w:adjustRightInd w:val="0"/>
              <w:snapToGrid w:val="0"/>
              <w:spacing w:line="360" w:lineRule="auto"/>
              <w:textAlignment w:val="auto"/>
              <w:rPr>
                <w:rFonts w:ascii="仿宋_GB2312" w:hAnsi="仿宋" w:eastAsia="仿宋_GB2312"/>
                <w:b w:val="0"/>
                <w:bCs w:val="0"/>
                <w:sz w:val="24"/>
                <w:szCs w:val="24"/>
              </w:rPr>
            </w:pPr>
            <w:r>
              <w:rPr>
                <w:rFonts w:hint="eastAsia" w:ascii="仿宋_GB2312" w:hAnsi="仿宋" w:eastAsia="仿宋_GB2312"/>
                <w:b w:val="0"/>
                <w:bCs w:val="0"/>
                <w:sz w:val="24"/>
                <w:szCs w:val="24"/>
              </w:rPr>
              <w:t>基本</w:t>
            </w:r>
          </w:p>
          <w:p w14:paraId="68D9A874">
            <w:pPr>
              <w:keepNext w:val="0"/>
              <w:keepLines w:val="0"/>
              <w:pageBreakBefore w:val="0"/>
              <w:kinsoku/>
              <w:wordWrap/>
              <w:overflowPunct/>
              <w:topLinePunct w:val="0"/>
              <w:autoSpaceDE/>
              <w:autoSpaceDN/>
              <w:bidi w:val="0"/>
              <w:adjustRightInd w:val="0"/>
              <w:snapToGrid w:val="0"/>
              <w:spacing w:line="360" w:lineRule="auto"/>
              <w:textAlignment w:val="auto"/>
              <w:rPr>
                <w:rFonts w:ascii="仿宋_GB2312" w:hAnsi="仿宋" w:eastAsia="仿宋_GB2312"/>
                <w:b w:val="0"/>
                <w:bCs w:val="0"/>
                <w:sz w:val="24"/>
                <w:szCs w:val="24"/>
              </w:rPr>
            </w:pPr>
          </w:p>
          <w:p w14:paraId="0F0E8CA5">
            <w:pPr>
              <w:keepNext w:val="0"/>
              <w:keepLines w:val="0"/>
              <w:pageBreakBefore w:val="0"/>
              <w:kinsoku/>
              <w:wordWrap/>
              <w:overflowPunct/>
              <w:topLinePunct w:val="0"/>
              <w:autoSpaceDE/>
              <w:autoSpaceDN/>
              <w:bidi w:val="0"/>
              <w:adjustRightInd w:val="0"/>
              <w:snapToGrid w:val="0"/>
              <w:spacing w:line="360" w:lineRule="auto"/>
              <w:textAlignment w:val="auto"/>
              <w:rPr>
                <w:rFonts w:ascii="仿宋_GB2312" w:hAnsi="仿宋" w:eastAsia="仿宋_GB2312"/>
                <w:sz w:val="24"/>
                <w:szCs w:val="24"/>
              </w:rPr>
            </w:pPr>
            <w:r>
              <w:rPr>
                <w:rFonts w:hint="eastAsia" w:ascii="仿宋_GB2312" w:hAnsi="仿宋" w:eastAsia="仿宋_GB2312"/>
                <w:b w:val="0"/>
                <w:bCs w:val="0"/>
                <w:sz w:val="24"/>
                <w:szCs w:val="24"/>
              </w:rPr>
              <w:t>情况</w:t>
            </w:r>
          </w:p>
        </w:tc>
        <w:tc>
          <w:tcPr>
            <w:tcW w:w="654" w:type="pct"/>
            <w:vAlign w:val="center"/>
          </w:tcPr>
          <w:p w14:paraId="03A3CAB8">
            <w:pPr>
              <w:keepNext w:val="0"/>
              <w:keepLines w:val="0"/>
              <w:pageBreakBefore w:val="0"/>
              <w:kinsoku/>
              <w:wordWrap/>
              <w:overflowPunct/>
              <w:topLinePunct w:val="0"/>
              <w:autoSpaceDE/>
              <w:autoSpaceDN/>
              <w:bidi w:val="0"/>
              <w:adjustRightInd w:val="0"/>
              <w:snapToGrid w:val="0"/>
              <w:spacing w:line="360" w:lineRule="auto"/>
              <w:jc w:val="center"/>
              <w:textAlignment w:val="auto"/>
              <w:rPr>
                <w:rFonts w:ascii="仿宋_GB2312" w:hAnsi="仿宋" w:eastAsia="仿宋_GB2312"/>
                <w:sz w:val="24"/>
                <w:szCs w:val="24"/>
              </w:rPr>
            </w:pPr>
            <w:r>
              <w:rPr>
                <w:rFonts w:hint="eastAsia" w:ascii="仿宋_GB2312" w:hAnsi="仿宋" w:eastAsia="仿宋_GB2312"/>
                <w:sz w:val="24"/>
                <w:szCs w:val="24"/>
              </w:rPr>
              <w:t>姓  名</w:t>
            </w:r>
          </w:p>
        </w:tc>
        <w:tc>
          <w:tcPr>
            <w:tcW w:w="1199" w:type="pct"/>
            <w:vAlign w:val="center"/>
          </w:tcPr>
          <w:p w14:paraId="5AA8D662">
            <w:pPr>
              <w:keepNext w:val="0"/>
              <w:keepLines w:val="0"/>
              <w:pageBreakBefore w:val="0"/>
              <w:kinsoku/>
              <w:wordWrap/>
              <w:overflowPunct/>
              <w:topLinePunct w:val="0"/>
              <w:autoSpaceDE/>
              <w:autoSpaceDN/>
              <w:bidi w:val="0"/>
              <w:adjustRightInd w:val="0"/>
              <w:snapToGrid w:val="0"/>
              <w:spacing w:line="360" w:lineRule="auto"/>
              <w:jc w:val="both"/>
              <w:textAlignment w:val="auto"/>
              <w:rPr>
                <w:rFonts w:ascii="仿宋_GB2312" w:hAnsi="仿宋" w:eastAsia="仿宋_GB2312"/>
                <w:b/>
                <w:sz w:val="24"/>
                <w:szCs w:val="24"/>
              </w:rPr>
            </w:pPr>
          </w:p>
        </w:tc>
        <w:tc>
          <w:tcPr>
            <w:tcW w:w="808" w:type="pct"/>
            <w:vAlign w:val="center"/>
          </w:tcPr>
          <w:p w14:paraId="00AA0A57">
            <w:pPr>
              <w:keepNext w:val="0"/>
              <w:keepLines w:val="0"/>
              <w:pageBreakBefore w:val="0"/>
              <w:kinsoku/>
              <w:wordWrap/>
              <w:overflowPunct/>
              <w:topLinePunct w:val="0"/>
              <w:autoSpaceDE/>
              <w:autoSpaceDN/>
              <w:bidi w:val="0"/>
              <w:adjustRightInd w:val="0"/>
              <w:snapToGrid w:val="0"/>
              <w:spacing w:line="360" w:lineRule="auto"/>
              <w:jc w:val="center"/>
              <w:textAlignment w:val="auto"/>
              <w:rPr>
                <w:rFonts w:ascii="仿宋_GB2312" w:hAnsi="仿宋" w:eastAsia="仿宋_GB2312"/>
                <w:sz w:val="24"/>
                <w:szCs w:val="24"/>
              </w:rPr>
            </w:pPr>
            <w:r>
              <w:rPr>
                <w:rFonts w:hint="eastAsia" w:ascii="仿宋_GB2312" w:hAnsi="仿宋" w:eastAsia="仿宋_GB2312"/>
                <w:sz w:val="24"/>
                <w:szCs w:val="24"/>
              </w:rPr>
              <w:t>性   别</w:t>
            </w:r>
          </w:p>
        </w:tc>
        <w:tc>
          <w:tcPr>
            <w:tcW w:w="1067" w:type="pct"/>
            <w:tcBorders>
              <w:right w:val="single" w:color="auto" w:sz="4" w:space="0"/>
            </w:tcBorders>
            <w:vAlign w:val="center"/>
          </w:tcPr>
          <w:p w14:paraId="4A435249">
            <w:pPr>
              <w:keepNext w:val="0"/>
              <w:keepLines w:val="0"/>
              <w:pageBreakBefore w:val="0"/>
              <w:kinsoku/>
              <w:wordWrap/>
              <w:overflowPunct/>
              <w:topLinePunct w:val="0"/>
              <w:autoSpaceDE/>
              <w:autoSpaceDN/>
              <w:bidi w:val="0"/>
              <w:adjustRightInd w:val="0"/>
              <w:snapToGrid w:val="0"/>
              <w:spacing w:line="360" w:lineRule="auto"/>
              <w:jc w:val="center"/>
              <w:textAlignment w:val="auto"/>
              <w:rPr>
                <w:rFonts w:ascii="仿宋_GB2312" w:hAnsi="仿宋" w:eastAsia="仿宋_GB2312"/>
                <w:b/>
                <w:sz w:val="24"/>
                <w:szCs w:val="24"/>
              </w:rPr>
            </w:pPr>
          </w:p>
        </w:tc>
        <w:tc>
          <w:tcPr>
            <w:tcW w:w="864" w:type="pct"/>
            <w:vMerge w:val="restart"/>
            <w:tcBorders>
              <w:left w:val="single" w:color="auto" w:sz="4" w:space="0"/>
            </w:tcBorders>
            <w:vAlign w:val="center"/>
          </w:tcPr>
          <w:p w14:paraId="7C26E81A">
            <w:pPr>
              <w:keepNext w:val="0"/>
              <w:keepLines w:val="0"/>
              <w:pageBreakBefore w:val="0"/>
              <w:kinsoku/>
              <w:wordWrap/>
              <w:overflowPunct/>
              <w:topLinePunct w:val="0"/>
              <w:autoSpaceDE/>
              <w:autoSpaceDN/>
              <w:bidi w:val="0"/>
              <w:adjustRightInd w:val="0"/>
              <w:snapToGrid w:val="0"/>
              <w:spacing w:line="360" w:lineRule="auto"/>
              <w:jc w:val="center"/>
              <w:textAlignment w:val="auto"/>
              <w:rPr>
                <w:rFonts w:ascii="仿宋_GB2312" w:hAnsi="仿宋" w:eastAsia="仿宋_GB2312"/>
                <w:sz w:val="24"/>
                <w:szCs w:val="24"/>
              </w:rPr>
            </w:pPr>
            <w:r>
              <w:rPr>
                <w:rFonts w:hint="eastAsia" w:ascii="仿宋_GB2312" w:hAnsi="仿宋" w:eastAsia="仿宋_GB2312"/>
                <w:sz w:val="24"/>
                <w:szCs w:val="24"/>
                <w:lang w:eastAsia="zh-CN"/>
              </w:rPr>
              <w:t>（</w:t>
            </w:r>
            <w:r>
              <w:rPr>
                <w:rFonts w:hint="eastAsia" w:ascii="仿宋_GB2312" w:hAnsi="仿宋" w:eastAsia="仿宋_GB2312"/>
                <w:sz w:val="24"/>
                <w:szCs w:val="24"/>
              </w:rPr>
              <w:t>照片</w:t>
            </w:r>
            <w:r>
              <w:rPr>
                <w:rFonts w:hint="eastAsia" w:ascii="仿宋_GB2312" w:hAnsi="仿宋" w:eastAsia="仿宋_GB2312"/>
                <w:sz w:val="24"/>
                <w:szCs w:val="24"/>
                <w:lang w:eastAsia="zh-CN"/>
              </w:rPr>
              <w:t>）</w:t>
            </w:r>
          </w:p>
        </w:tc>
      </w:tr>
      <w:tr w14:paraId="26227DF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87" w:hRule="atLeast"/>
          <w:jc w:val="center"/>
        </w:trPr>
        <w:tc>
          <w:tcPr>
            <w:tcW w:w="406" w:type="pct"/>
            <w:vMerge w:val="continue"/>
            <w:vAlign w:val="center"/>
          </w:tcPr>
          <w:p w14:paraId="519DED72">
            <w:pPr>
              <w:keepNext w:val="0"/>
              <w:keepLines w:val="0"/>
              <w:pageBreakBefore w:val="0"/>
              <w:kinsoku/>
              <w:wordWrap/>
              <w:overflowPunct/>
              <w:topLinePunct w:val="0"/>
              <w:autoSpaceDE/>
              <w:autoSpaceDN/>
              <w:bidi w:val="0"/>
              <w:adjustRightInd w:val="0"/>
              <w:snapToGrid w:val="0"/>
              <w:spacing w:line="360" w:lineRule="auto"/>
              <w:textAlignment w:val="auto"/>
              <w:rPr>
                <w:rFonts w:ascii="仿宋_GB2312" w:hAnsi="仿宋" w:eastAsia="仿宋_GB2312"/>
                <w:sz w:val="24"/>
                <w:szCs w:val="24"/>
              </w:rPr>
            </w:pPr>
          </w:p>
        </w:tc>
        <w:tc>
          <w:tcPr>
            <w:tcW w:w="654" w:type="pct"/>
            <w:vAlign w:val="center"/>
          </w:tcPr>
          <w:p w14:paraId="7908DDE7">
            <w:pPr>
              <w:keepNext w:val="0"/>
              <w:keepLines w:val="0"/>
              <w:pageBreakBefore w:val="0"/>
              <w:kinsoku/>
              <w:wordWrap/>
              <w:overflowPunct/>
              <w:topLinePunct w:val="0"/>
              <w:autoSpaceDE/>
              <w:autoSpaceDN/>
              <w:bidi w:val="0"/>
              <w:adjustRightInd w:val="0"/>
              <w:snapToGrid w:val="0"/>
              <w:spacing w:line="360" w:lineRule="auto"/>
              <w:jc w:val="center"/>
              <w:textAlignment w:val="auto"/>
              <w:rPr>
                <w:rFonts w:ascii="仿宋_GB2312" w:hAnsi="仿宋" w:eastAsia="仿宋_GB2312"/>
                <w:sz w:val="24"/>
                <w:szCs w:val="24"/>
              </w:rPr>
            </w:pPr>
            <w:r>
              <w:rPr>
                <w:rFonts w:hint="eastAsia" w:ascii="仿宋_GB2312" w:hAnsi="仿宋" w:eastAsia="仿宋_GB2312"/>
                <w:sz w:val="24"/>
                <w:szCs w:val="24"/>
              </w:rPr>
              <w:t>政治面貌</w:t>
            </w:r>
          </w:p>
        </w:tc>
        <w:tc>
          <w:tcPr>
            <w:tcW w:w="1199" w:type="pct"/>
            <w:vAlign w:val="center"/>
          </w:tcPr>
          <w:p w14:paraId="0C56096F">
            <w:pPr>
              <w:keepNext w:val="0"/>
              <w:keepLines w:val="0"/>
              <w:pageBreakBefore w:val="0"/>
              <w:kinsoku/>
              <w:wordWrap/>
              <w:overflowPunct/>
              <w:topLinePunct w:val="0"/>
              <w:autoSpaceDE/>
              <w:autoSpaceDN/>
              <w:bidi w:val="0"/>
              <w:adjustRightInd w:val="0"/>
              <w:snapToGrid w:val="0"/>
              <w:spacing w:line="360" w:lineRule="auto"/>
              <w:jc w:val="center"/>
              <w:textAlignment w:val="auto"/>
              <w:rPr>
                <w:rFonts w:ascii="仿宋_GB2312" w:hAnsi="仿宋" w:eastAsia="仿宋_GB2312"/>
                <w:b/>
                <w:sz w:val="24"/>
                <w:szCs w:val="24"/>
              </w:rPr>
            </w:pPr>
          </w:p>
        </w:tc>
        <w:tc>
          <w:tcPr>
            <w:tcW w:w="808" w:type="pct"/>
            <w:vAlign w:val="center"/>
          </w:tcPr>
          <w:p w14:paraId="2F3C43BD">
            <w:pPr>
              <w:keepNext w:val="0"/>
              <w:keepLines w:val="0"/>
              <w:pageBreakBefore w:val="0"/>
              <w:kinsoku/>
              <w:wordWrap/>
              <w:overflowPunct/>
              <w:topLinePunct w:val="0"/>
              <w:autoSpaceDE/>
              <w:autoSpaceDN/>
              <w:bidi w:val="0"/>
              <w:adjustRightInd w:val="0"/>
              <w:snapToGrid w:val="0"/>
              <w:spacing w:line="360" w:lineRule="auto"/>
              <w:jc w:val="center"/>
              <w:textAlignment w:val="auto"/>
              <w:rPr>
                <w:rFonts w:ascii="仿宋_GB2312" w:hAnsi="仿宋" w:eastAsia="仿宋_GB2312"/>
                <w:sz w:val="24"/>
                <w:szCs w:val="24"/>
              </w:rPr>
            </w:pPr>
            <w:r>
              <w:rPr>
                <w:rFonts w:hint="eastAsia" w:ascii="仿宋_GB2312" w:hAnsi="仿宋" w:eastAsia="仿宋_GB2312"/>
                <w:sz w:val="24"/>
                <w:szCs w:val="24"/>
              </w:rPr>
              <w:t>学   院</w:t>
            </w:r>
          </w:p>
        </w:tc>
        <w:tc>
          <w:tcPr>
            <w:tcW w:w="1067" w:type="pct"/>
            <w:tcBorders>
              <w:right w:val="single" w:color="auto" w:sz="4" w:space="0"/>
            </w:tcBorders>
            <w:vAlign w:val="center"/>
          </w:tcPr>
          <w:p w14:paraId="1707B84F">
            <w:pPr>
              <w:keepNext w:val="0"/>
              <w:keepLines w:val="0"/>
              <w:pageBreakBefore w:val="0"/>
              <w:kinsoku/>
              <w:wordWrap/>
              <w:overflowPunct/>
              <w:topLinePunct w:val="0"/>
              <w:autoSpaceDE/>
              <w:autoSpaceDN/>
              <w:bidi w:val="0"/>
              <w:adjustRightInd w:val="0"/>
              <w:snapToGrid w:val="0"/>
              <w:spacing w:line="360" w:lineRule="auto"/>
              <w:jc w:val="center"/>
              <w:textAlignment w:val="auto"/>
              <w:rPr>
                <w:rFonts w:ascii="仿宋_GB2312" w:hAnsi="仿宋" w:eastAsia="仿宋_GB2312"/>
                <w:b/>
                <w:sz w:val="24"/>
                <w:szCs w:val="24"/>
              </w:rPr>
            </w:pPr>
          </w:p>
        </w:tc>
        <w:tc>
          <w:tcPr>
            <w:tcW w:w="864" w:type="pct"/>
            <w:vMerge w:val="continue"/>
            <w:tcBorders>
              <w:left w:val="single" w:color="auto" w:sz="4" w:space="0"/>
            </w:tcBorders>
            <w:vAlign w:val="center"/>
          </w:tcPr>
          <w:p w14:paraId="02491D64">
            <w:pPr>
              <w:keepNext w:val="0"/>
              <w:keepLines w:val="0"/>
              <w:pageBreakBefore w:val="0"/>
              <w:kinsoku/>
              <w:wordWrap/>
              <w:overflowPunct/>
              <w:topLinePunct w:val="0"/>
              <w:autoSpaceDE/>
              <w:autoSpaceDN/>
              <w:bidi w:val="0"/>
              <w:adjustRightInd w:val="0"/>
              <w:snapToGrid w:val="0"/>
              <w:spacing w:line="360" w:lineRule="auto"/>
              <w:jc w:val="center"/>
              <w:textAlignment w:val="auto"/>
              <w:rPr>
                <w:rFonts w:ascii="仿宋_GB2312" w:hAnsi="仿宋" w:eastAsia="仿宋_GB2312"/>
                <w:b/>
                <w:sz w:val="24"/>
                <w:szCs w:val="24"/>
              </w:rPr>
            </w:pPr>
          </w:p>
        </w:tc>
      </w:tr>
      <w:tr w14:paraId="74DA00E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96" w:hRule="atLeast"/>
          <w:jc w:val="center"/>
        </w:trPr>
        <w:tc>
          <w:tcPr>
            <w:tcW w:w="406" w:type="pct"/>
            <w:vMerge w:val="continue"/>
            <w:vAlign w:val="center"/>
          </w:tcPr>
          <w:p w14:paraId="139FB9AC">
            <w:pPr>
              <w:keepNext w:val="0"/>
              <w:keepLines w:val="0"/>
              <w:pageBreakBefore w:val="0"/>
              <w:kinsoku/>
              <w:wordWrap/>
              <w:overflowPunct/>
              <w:topLinePunct w:val="0"/>
              <w:autoSpaceDE/>
              <w:autoSpaceDN/>
              <w:bidi w:val="0"/>
              <w:adjustRightInd w:val="0"/>
              <w:snapToGrid w:val="0"/>
              <w:spacing w:line="360" w:lineRule="auto"/>
              <w:textAlignment w:val="auto"/>
              <w:rPr>
                <w:rFonts w:ascii="仿宋_GB2312" w:hAnsi="仿宋" w:eastAsia="仿宋_GB2312"/>
                <w:sz w:val="24"/>
                <w:szCs w:val="24"/>
              </w:rPr>
            </w:pPr>
          </w:p>
        </w:tc>
        <w:tc>
          <w:tcPr>
            <w:tcW w:w="654" w:type="pct"/>
            <w:vAlign w:val="center"/>
          </w:tcPr>
          <w:p w14:paraId="2FC3D045">
            <w:pPr>
              <w:keepNext w:val="0"/>
              <w:keepLines w:val="0"/>
              <w:pageBreakBefore w:val="0"/>
              <w:kinsoku/>
              <w:wordWrap/>
              <w:overflowPunct/>
              <w:topLinePunct w:val="0"/>
              <w:autoSpaceDE/>
              <w:autoSpaceDN/>
              <w:bidi w:val="0"/>
              <w:adjustRightInd w:val="0"/>
              <w:snapToGrid w:val="0"/>
              <w:spacing w:line="360" w:lineRule="auto"/>
              <w:jc w:val="center"/>
              <w:textAlignment w:val="auto"/>
              <w:rPr>
                <w:rFonts w:ascii="仿宋_GB2312" w:hAnsi="仿宋" w:eastAsia="仿宋_GB2312"/>
                <w:sz w:val="24"/>
                <w:szCs w:val="24"/>
              </w:rPr>
            </w:pPr>
            <w:r>
              <w:rPr>
                <w:rFonts w:hint="eastAsia" w:ascii="仿宋_GB2312" w:hAnsi="仿宋" w:eastAsia="仿宋_GB2312"/>
                <w:sz w:val="24"/>
                <w:szCs w:val="24"/>
              </w:rPr>
              <w:t>学  号</w:t>
            </w:r>
          </w:p>
        </w:tc>
        <w:tc>
          <w:tcPr>
            <w:tcW w:w="1199" w:type="pct"/>
            <w:vAlign w:val="center"/>
          </w:tcPr>
          <w:p w14:paraId="48EE8CFD">
            <w:pPr>
              <w:keepNext w:val="0"/>
              <w:keepLines w:val="0"/>
              <w:pageBreakBefore w:val="0"/>
              <w:kinsoku/>
              <w:wordWrap/>
              <w:overflowPunct/>
              <w:topLinePunct w:val="0"/>
              <w:autoSpaceDE/>
              <w:autoSpaceDN/>
              <w:bidi w:val="0"/>
              <w:adjustRightInd w:val="0"/>
              <w:snapToGrid w:val="0"/>
              <w:spacing w:line="360" w:lineRule="auto"/>
              <w:jc w:val="center"/>
              <w:textAlignment w:val="auto"/>
              <w:rPr>
                <w:rFonts w:ascii="仿宋_GB2312" w:hAnsi="仿宋" w:eastAsia="仿宋_GB2312"/>
                <w:sz w:val="24"/>
                <w:szCs w:val="24"/>
              </w:rPr>
            </w:pPr>
          </w:p>
        </w:tc>
        <w:tc>
          <w:tcPr>
            <w:tcW w:w="808" w:type="pct"/>
            <w:vAlign w:val="center"/>
          </w:tcPr>
          <w:p w14:paraId="04DB386E">
            <w:pPr>
              <w:keepNext w:val="0"/>
              <w:keepLines w:val="0"/>
              <w:pageBreakBefore w:val="0"/>
              <w:kinsoku/>
              <w:wordWrap/>
              <w:overflowPunct/>
              <w:topLinePunct w:val="0"/>
              <w:autoSpaceDE/>
              <w:autoSpaceDN/>
              <w:bidi w:val="0"/>
              <w:adjustRightInd w:val="0"/>
              <w:snapToGrid w:val="0"/>
              <w:spacing w:line="360" w:lineRule="auto"/>
              <w:jc w:val="center"/>
              <w:textAlignment w:val="auto"/>
              <w:rPr>
                <w:rFonts w:ascii="仿宋_GB2312" w:hAnsi="仿宋" w:eastAsia="仿宋_GB2312"/>
                <w:b/>
                <w:sz w:val="24"/>
                <w:szCs w:val="24"/>
              </w:rPr>
            </w:pPr>
            <w:r>
              <w:rPr>
                <w:rFonts w:hint="eastAsia" w:ascii="仿宋_GB2312" w:hAnsi="仿宋" w:eastAsia="仿宋_GB2312"/>
                <w:sz w:val="24"/>
                <w:szCs w:val="24"/>
              </w:rPr>
              <w:t>班   级</w:t>
            </w:r>
          </w:p>
        </w:tc>
        <w:tc>
          <w:tcPr>
            <w:tcW w:w="1067" w:type="pct"/>
            <w:tcBorders>
              <w:right w:val="single" w:color="auto" w:sz="4" w:space="0"/>
            </w:tcBorders>
            <w:vAlign w:val="center"/>
          </w:tcPr>
          <w:p w14:paraId="730D887B">
            <w:pPr>
              <w:keepNext w:val="0"/>
              <w:keepLines w:val="0"/>
              <w:pageBreakBefore w:val="0"/>
              <w:kinsoku/>
              <w:wordWrap/>
              <w:overflowPunct/>
              <w:topLinePunct w:val="0"/>
              <w:autoSpaceDE/>
              <w:autoSpaceDN/>
              <w:bidi w:val="0"/>
              <w:adjustRightInd w:val="0"/>
              <w:snapToGrid w:val="0"/>
              <w:spacing w:line="360" w:lineRule="auto"/>
              <w:jc w:val="center"/>
              <w:textAlignment w:val="auto"/>
              <w:rPr>
                <w:rFonts w:ascii="仿宋_GB2312" w:hAnsi="仿宋" w:eastAsia="仿宋_GB2312"/>
                <w:b/>
                <w:sz w:val="24"/>
                <w:szCs w:val="24"/>
              </w:rPr>
            </w:pPr>
          </w:p>
        </w:tc>
        <w:tc>
          <w:tcPr>
            <w:tcW w:w="864" w:type="pct"/>
            <w:vMerge w:val="continue"/>
            <w:tcBorders>
              <w:left w:val="single" w:color="auto" w:sz="4" w:space="0"/>
            </w:tcBorders>
            <w:vAlign w:val="center"/>
          </w:tcPr>
          <w:p w14:paraId="37B4B3A7">
            <w:pPr>
              <w:keepNext w:val="0"/>
              <w:keepLines w:val="0"/>
              <w:pageBreakBefore w:val="0"/>
              <w:kinsoku/>
              <w:wordWrap/>
              <w:overflowPunct/>
              <w:topLinePunct w:val="0"/>
              <w:autoSpaceDE/>
              <w:autoSpaceDN/>
              <w:bidi w:val="0"/>
              <w:adjustRightInd w:val="0"/>
              <w:snapToGrid w:val="0"/>
              <w:spacing w:line="360" w:lineRule="auto"/>
              <w:jc w:val="center"/>
              <w:textAlignment w:val="auto"/>
              <w:rPr>
                <w:rFonts w:ascii="仿宋_GB2312" w:hAnsi="仿宋" w:eastAsia="仿宋_GB2312"/>
                <w:b/>
                <w:sz w:val="24"/>
                <w:szCs w:val="24"/>
              </w:rPr>
            </w:pPr>
          </w:p>
        </w:tc>
      </w:tr>
      <w:tr w14:paraId="48570BD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616" w:hRule="atLeast"/>
          <w:jc w:val="center"/>
        </w:trPr>
        <w:tc>
          <w:tcPr>
            <w:tcW w:w="406" w:type="pct"/>
            <w:vMerge w:val="continue"/>
            <w:vAlign w:val="center"/>
          </w:tcPr>
          <w:p w14:paraId="772349B3">
            <w:pPr>
              <w:keepNext w:val="0"/>
              <w:keepLines w:val="0"/>
              <w:pageBreakBefore w:val="0"/>
              <w:kinsoku/>
              <w:wordWrap/>
              <w:overflowPunct/>
              <w:topLinePunct w:val="0"/>
              <w:autoSpaceDE/>
              <w:autoSpaceDN/>
              <w:bidi w:val="0"/>
              <w:adjustRightInd w:val="0"/>
              <w:snapToGrid w:val="0"/>
              <w:spacing w:line="360" w:lineRule="auto"/>
              <w:textAlignment w:val="auto"/>
              <w:rPr>
                <w:rFonts w:ascii="仿宋_GB2312" w:hAnsi="仿宋" w:eastAsia="仿宋_GB2312"/>
                <w:sz w:val="24"/>
                <w:szCs w:val="24"/>
              </w:rPr>
            </w:pPr>
          </w:p>
        </w:tc>
        <w:tc>
          <w:tcPr>
            <w:tcW w:w="654" w:type="pct"/>
            <w:tcBorders>
              <w:right w:val="single" w:color="auto" w:sz="4" w:space="0"/>
            </w:tcBorders>
            <w:vAlign w:val="center"/>
          </w:tcPr>
          <w:p w14:paraId="7F35C9C2">
            <w:pPr>
              <w:keepNext w:val="0"/>
              <w:keepLines w:val="0"/>
              <w:pageBreakBefore w:val="0"/>
              <w:kinsoku/>
              <w:wordWrap/>
              <w:overflowPunct/>
              <w:topLinePunct w:val="0"/>
              <w:autoSpaceDE/>
              <w:autoSpaceDN/>
              <w:bidi w:val="0"/>
              <w:adjustRightInd w:val="0"/>
              <w:snapToGrid w:val="0"/>
              <w:spacing w:line="360" w:lineRule="auto"/>
              <w:jc w:val="center"/>
              <w:textAlignment w:val="auto"/>
              <w:rPr>
                <w:rFonts w:ascii="仿宋_GB2312" w:hAnsi="仿宋" w:eastAsia="仿宋_GB2312"/>
                <w:b/>
                <w:sz w:val="24"/>
                <w:szCs w:val="24"/>
              </w:rPr>
            </w:pPr>
            <w:r>
              <w:rPr>
                <w:rFonts w:hint="eastAsia" w:ascii="仿宋_GB2312" w:hAnsi="仿宋" w:eastAsia="仿宋_GB2312"/>
                <w:sz w:val="24"/>
                <w:szCs w:val="24"/>
              </w:rPr>
              <w:t>专业排名</w:t>
            </w:r>
          </w:p>
        </w:tc>
        <w:tc>
          <w:tcPr>
            <w:tcW w:w="1199" w:type="pct"/>
            <w:tcBorders>
              <w:left w:val="single" w:color="auto" w:sz="4" w:space="0"/>
            </w:tcBorders>
            <w:vAlign w:val="center"/>
          </w:tcPr>
          <w:p w14:paraId="2993E0BB">
            <w:pPr>
              <w:keepNext w:val="0"/>
              <w:keepLines w:val="0"/>
              <w:pageBreakBefore w:val="0"/>
              <w:kinsoku/>
              <w:wordWrap/>
              <w:overflowPunct/>
              <w:topLinePunct w:val="0"/>
              <w:autoSpaceDE/>
              <w:autoSpaceDN/>
              <w:bidi w:val="0"/>
              <w:adjustRightInd w:val="0"/>
              <w:snapToGrid w:val="0"/>
              <w:spacing w:line="360" w:lineRule="auto"/>
              <w:jc w:val="center"/>
              <w:textAlignment w:val="auto"/>
              <w:rPr>
                <w:rFonts w:ascii="仿宋_GB2312" w:hAnsi="仿宋" w:eastAsia="仿宋_GB2312"/>
                <w:sz w:val="24"/>
                <w:szCs w:val="24"/>
              </w:rPr>
            </w:pPr>
            <w:r>
              <w:rPr>
                <w:rFonts w:hint="eastAsia" w:ascii="仿宋_GB2312" w:hAnsi="仿宋" w:eastAsia="仿宋_GB2312"/>
                <w:sz w:val="24"/>
                <w:szCs w:val="24"/>
              </w:rPr>
              <w:t xml:space="preserve">         %</w:t>
            </w:r>
          </w:p>
        </w:tc>
        <w:tc>
          <w:tcPr>
            <w:tcW w:w="808" w:type="pct"/>
            <w:tcBorders>
              <w:right w:val="single" w:color="auto" w:sz="4" w:space="0"/>
            </w:tcBorders>
            <w:vAlign w:val="center"/>
          </w:tcPr>
          <w:p w14:paraId="4ABDDAF3">
            <w:pPr>
              <w:keepNext w:val="0"/>
              <w:keepLines w:val="0"/>
              <w:pageBreakBefore w:val="0"/>
              <w:kinsoku/>
              <w:wordWrap/>
              <w:overflowPunct/>
              <w:topLinePunct w:val="0"/>
              <w:autoSpaceDE/>
              <w:autoSpaceDN/>
              <w:bidi w:val="0"/>
              <w:adjustRightInd w:val="0"/>
              <w:snapToGrid w:val="0"/>
              <w:spacing w:line="360" w:lineRule="auto"/>
              <w:jc w:val="center"/>
              <w:textAlignment w:val="auto"/>
              <w:rPr>
                <w:rFonts w:ascii="仿宋_GB2312" w:hAnsi="仿宋" w:eastAsia="仿宋_GB2312"/>
                <w:sz w:val="24"/>
                <w:szCs w:val="24"/>
              </w:rPr>
            </w:pPr>
            <w:r>
              <w:rPr>
                <w:rFonts w:hint="eastAsia" w:ascii="仿宋_GB2312" w:hAnsi="仿宋" w:eastAsia="仿宋_GB2312"/>
                <w:sz w:val="24"/>
                <w:szCs w:val="24"/>
              </w:rPr>
              <w:t>不及格门次</w:t>
            </w:r>
          </w:p>
        </w:tc>
        <w:tc>
          <w:tcPr>
            <w:tcW w:w="1067" w:type="pct"/>
            <w:tcBorders>
              <w:left w:val="single" w:color="auto" w:sz="4" w:space="0"/>
              <w:right w:val="single" w:color="auto" w:sz="4" w:space="0"/>
            </w:tcBorders>
            <w:vAlign w:val="center"/>
          </w:tcPr>
          <w:p w14:paraId="5F5C754B">
            <w:pPr>
              <w:keepNext w:val="0"/>
              <w:keepLines w:val="0"/>
              <w:pageBreakBefore w:val="0"/>
              <w:kinsoku/>
              <w:wordWrap/>
              <w:overflowPunct/>
              <w:topLinePunct w:val="0"/>
              <w:autoSpaceDE/>
              <w:autoSpaceDN/>
              <w:bidi w:val="0"/>
              <w:adjustRightInd w:val="0"/>
              <w:snapToGrid w:val="0"/>
              <w:spacing w:line="360" w:lineRule="auto"/>
              <w:jc w:val="center"/>
              <w:textAlignment w:val="auto"/>
              <w:rPr>
                <w:rFonts w:ascii="仿宋_GB2312" w:hAnsi="仿宋" w:eastAsia="仿宋_GB2312"/>
                <w:b/>
                <w:sz w:val="24"/>
                <w:szCs w:val="24"/>
              </w:rPr>
            </w:pPr>
          </w:p>
        </w:tc>
        <w:tc>
          <w:tcPr>
            <w:tcW w:w="864" w:type="pct"/>
            <w:vMerge w:val="continue"/>
            <w:tcBorders>
              <w:left w:val="single" w:color="auto" w:sz="4" w:space="0"/>
            </w:tcBorders>
            <w:vAlign w:val="center"/>
          </w:tcPr>
          <w:p w14:paraId="403F8B83">
            <w:pPr>
              <w:keepNext w:val="0"/>
              <w:keepLines w:val="0"/>
              <w:pageBreakBefore w:val="0"/>
              <w:kinsoku/>
              <w:wordWrap/>
              <w:overflowPunct/>
              <w:topLinePunct w:val="0"/>
              <w:autoSpaceDE/>
              <w:autoSpaceDN/>
              <w:bidi w:val="0"/>
              <w:adjustRightInd w:val="0"/>
              <w:snapToGrid w:val="0"/>
              <w:spacing w:line="360" w:lineRule="auto"/>
              <w:jc w:val="center"/>
              <w:textAlignment w:val="auto"/>
              <w:rPr>
                <w:rFonts w:ascii="仿宋_GB2312" w:hAnsi="仿宋" w:eastAsia="仿宋_GB2312"/>
                <w:b/>
                <w:sz w:val="24"/>
                <w:szCs w:val="24"/>
              </w:rPr>
            </w:pPr>
          </w:p>
        </w:tc>
      </w:tr>
      <w:tr w14:paraId="2EDB617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647" w:hRule="atLeast"/>
          <w:jc w:val="center"/>
        </w:trPr>
        <w:tc>
          <w:tcPr>
            <w:tcW w:w="406" w:type="pct"/>
            <w:vMerge w:val="continue"/>
            <w:vAlign w:val="center"/>
          </w:tcPr>
          <w:p w14:paraId="2A382AF3">
            <w:pPr>
              <w:keepNext w:val="0"/>
              <w:keepLines w:val="0"/>
              <w:pageBreakBefore w:val="0"/>
              <w:kinsoku/>
              <w:wordWrap/>
              <w:overflowPunct/>
              <w:topLinePunct w:val="0"/>
              <w:autoSpaceDE/>
              <w:autoSpaceDN/>
              <w:bidi w:val="0"/>
              <w:adjustRightInd w:val="0"/>
              <w:snapToGrid w:val="0"/>
              <w:spacing w:line="360" w:lineRule="auto"/>
              <w:textAlignment w:val="auto"/>
              <w:rPr>
                <w:rFonts w:ascii="仿宋_GB2312" w:hAnsi="仿宋" w:eastAsia="仿宋_GB2312"/>
                <w:sz w:val="24"/>
                <w:szCs w:val="24"/>
              </w:rPr>
            </w:pPr>
          </w:p>
        </w:tc>
        <w:tc>
          <w:tcPr>
            <w:tcW w:w="654" w:type="pct"/>
            <w:vAlign w:val="center"/>
          </w:tcPr>
          <w:p w14:paraId="4C4F4A30">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仿宋_GB2312" w:hAnsi="仿宋" w:eastAsia="仿宋_GB2312"/>
                <w:sz w:val="24"/>
                <w:szCs w:val="24"/>
                <w:lang w:val="en-US" w:eastAsia="zh-CN"/>
              </w:rPr>
            </w:pPr>
            <w:r>
              <w:rPr>
                <w:rFonts w:hint="eastAsia" w:ascii="仿宋_GB2312" w:hAnsi="仿宋" w:eastAsia="仿宋_GB2312"/>
                <w:sz w:val="24"/>
                <w:szCs w:val="24"/>
                <w:lang w:val="en-US" w:eastAsia="zh-CN"/>
              </w:rPr>
              <w:t>籍  贯</w:t>
            </w:r>
          </w:p>
        </w:tc>
        <w:tc>
          <w:tcPr>
            <w:tcW w:w="1199" w:type="pct"/>
            <w:vAlign w:val="center"/>
          </w:tcPr>
          <w:p w14:paraId="664217B8">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ascii="仿宋_GB2312" w:hAnsi="仿宋" w:eastAsia="仿宋_GB2312"/>
                <w:sz w:val="24"/>
                <w:szCs w:val="24"/>
              </w:rPr>
            </w:pPr>
          </w:p>
        </w:tc>
        <w:tc>
          <w:tcPr>
            <w:tcW w:w="808" w:type="pct"/>
            <w:vAlign w:val="center"/>
          </w:tcPr>
          <w:p w14:paraId="50502981">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ascii="仿宋_GB2312" w:hAnsi="仿宋" w:eastAsia="仿宋_GB2312"/>
                <w:sz w:val="24"/>
                <w:szCs w:val="24"/>
              </w:rPr>
            </w:pPr>
            <w:r>
              <w:rPr>
                <w:rFonts w:hint="eastAsia" w:ascii="仿宋_GB2312" w:hAnsi="仿宋" w:eastAsia="仿宋_GB2312"/>
                <w:sz w:val="24"/>
                <w:szCs w:val="24"/>
              </w:rPr>
              <w:t>联系方式</w:t>
            </w:r>
          </w:p>
        </w:tc>
        <w:tc>
          <w:tcPr>
            <w:tcW w:w="1932" w:type="pct"/>
            <w:gridSpan w:val="2"/>
            <w:vAlign w:val="center"/>
          </w:tcPr>
          <w:p w14:paraId="1DB683A0">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ascii="仿宋_GB2312" w:hAnsi="仿宋" w:eastAsia="仿宋_GB2312"/>
                <w:sz w:val="24"/>
                <w:szCs w:val="24"/>
              </w:rPr>
            </w:pPr>
          </w:p>
        </w:tc>
      </w:tr>
      <w:tr w14:paraId="66A13AC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1292" w:hRule="atLeast"/>
          <w:jc w:val="center"/>
        </w:trPr>
        <w:tc>
          <w:tcPr>
            <w:tcW w:w="406" w:type="pct"/>
            <w:vAlign w:val="center"/>
          </w:tcPr>
          <w:p w14:paraId="0E97A534">
            <w:pPr>
              <w:keepNext w:val="0"/>
              <w:keepLines w:val="0"/>
              <w:pageBreakBefore w:val="0"/>
              <w:kinsoku/>
              <w:wordWrap/>
              <w:overflowPunct/>
              <w:topLinePunct w:val="0"/>
              <w:autoSpaceDE/>
              <w:autoSpaceDN/>
              <w:bidi w:val="0"/>
              <w:adjustRightInd w:val="0"/>
              <w:snapToGrid w:val="0"/>
              <w:spacing w:line="360" w:lineRule="auto"/>
              <w:textAlignment w:val="auto"/>
              <w:rPr>
                <w:rFonts w:ascii="仿宋_GB2312" w:hAnsi="仿宋" w:eastAsia="仿宋_GB2312"/>
                <w:sz w:val="24"/>
                <w:szCs w:val="24"/>
              </w:rPr>
            </w:pPr>
            <w:r>
              <w:rPr>
                <w:rFonts w:hint="eastAsia" w:ascii="仿宋_GB2312" w:hAnsi="仿宋" w:eastAsia="仿宋_GB2312"/>
                <w:sz w:val="24"/>
                <w:szCs w:val="24"/>
              </w:rPr>
              <w:t>特长</w:t>
            </w:r>
          </w:p>
          <w:p w14:paraId="490ED1D1">
            <w:pPr>
              <w:keepNext w:val="0"/>
              <w:keepLines w:val="0"/>
              <w:pageBreakBefore w:val="0"/>
              <w:kinsoku/>
              <w:wordWrap/>
              <w:overflowPunct/>
              <w:topLinePunct w:val="0"/>
              <w:autoSpaceDE/>
              <w:autoSpaceDN/>
              <w:bidi w:val="0"/>
              <w:adjustRightInd w:val="0"/>
              <w:snapToGrid w:val="0"/>
              <w:spacing w:line="360" w:lineRule="auto"/>
              <w:textAlignment w:val="auto"/>
              <w:rPr>
                <w:rFonts w:ascii="仿宋_GB2312" w:hAnsi="仿宋" w:eastAsia="仿宋_GB2312"/>
                <w:sz w:val="24"/>
                <w:szCs w:val="24"/>
              </w:rPr>
            </w:pPr>
            <w:r>
              <w:rPr>
                <w:rFonts w:hint="eastAsia" w:ascii="仿宋_GB2312" w:hAnsi="仿宋" w:eastAsia="仿宋_GB2312"/>
                <w:sz w:val="24"/>
                <w:szCs w:val="24"/>
              </w:rPr>
              <w:t>爱好</w:t>
            </w:r>
          </w:p>
        </w:tc>
        <w:tc>
          <w:tcPr>
            <w:tcW w:w="4593" w:type="pct"/>
            <w:gridSpan w:val="5"/>
            <w:vAlign w:val="center"/>
          </w:tcPr>
          <w:p w14:paraId="7EEBA5A2">
            <w:pPr>
              <w:keepNext w:val="0"/>
              <w:keepLines w:val="0"/>
              <w:pageBreakBefore w:val="0"/>
              <w:kinsoku/>
              <w:wordWrap/>
              <w:overflowPunct/>
              <w:topLinePunct w:val="0"/>
              <w:autoSpaceDE/>
              <w:autoSpaceDN/>
              <w:bidi w:val="0"/>
              <w:adjustRightInd w:val="0"/>
              <w:snapToGrid w:val="0"/>
              <w:spacing w:line="360" w:lineRule="auto"/>
              <w:textAlignment w:val="auto"/>
              <w:rPr>
                <w:rFonts w:ascii="仿宋_GB2312" w:hAnsi="仿宋" w:eastAsia="仿宋_GB2312"/>
                <w:sz w:val="24"/>
                <w:szCs w:val="24"/>
              </w:rPr>
            </w:pPr>
            <w:r>
              <w:rPr>
                <w:rFonts w:hint="eastAsia" w:ascii="仿宋_GB2312" w:hAnsi="仿宋" w:eastAsia="仿宋_GB2312"/>
                <w:sz w:val="24"/>
                <w:szCs w:val="24"/>
              </w:rPr>
              <w:t>1.</w:t>
            </w:r>
            <w:r>
              <w:rPr>
                <w:rFonts w:hint="eastAsia" w:ascii="仿宋_GB2312" w:hAnsi="仿宋" w:eastAsia="仿宋_GB2312"/>
                <w:sz w:val="24"/>
                <w:szCs w:val="24"/>
                <w:lang w:val="en-US" w:eastAsia="zh-CN"/>
              </w:rPr>
              <w:t>视频剪辑</w:t>
            </w:r>
            <w:r>
              <w:rPr>
                <w:rFonts w:hint="eastAsia" w:ascii="仿宋_GB2312" w:hAnsi="仿宋" w:eastAsia="仿宋_GB2312"/>
                <w:sz w:val="24"/>
                <w:szCs w:val="24"/>
              </w:rPr>
              <w:t xml:space="preserve">  </w:t>
            </w:r>
            <w:r>
              <w:rPr>
                <w:rFonts w:ascii="仿宋_GB2312" w:hAnsi="仿宋" w:eastAsia="仿宋_GB2312"/>
                <w:sz w:val="24"/>
                <w:szCs w:val="24"/>
              </w:rPr>
              <w:t xml:space="preserve">   </w:t>
            </w:r>
            <w:r>
              <w:rPr>
                <w:rFonts w:hint="eastAsia" w:ascii="仿宋_GB2312" w:hAnsi="仿宋" w:eastAsia="仿宋_GB2312"/>
                <w:sz w:val="24"/>
                <w:szCs w:val="24"/>
              </w:rPr>
              <w:t xml:space="preserve"> </w:t>
            </w:r>
            <w:r>
              <w:rPr>
                <w:rFonts w:ascii="仿宋_GB2312" w:hAnsi="仿宋" w:eastAsia="仿宋_GB2312"/>
                <w:sz w:val="24"/>
                <w:szCs w:val="24"/>
              </w:rPr>
              <w:t xml:space="preserve"> </w:t>
            </w:r>
            <w:r>
              <w:rPr>
                <w:rFonts w:hint="eastAsia" w:ascii="仿宋_GB2312" w:hAnsi="仿宋" w:eastAsia="仿宋_GB2312"/>
                <w:sz w:val="24"/>
                <w:szCs w:val="24"/>
              </w:rPr>
              <w:t xml:space="preserve"> 2.摄影摄像  </w:t>
            </w:r>
            <w:r>
              <w:rPr>
                <w:rFonts w:ascii="仿宋_GB2312" w:hAnsi="仿宋" w:eastAsia="仿宋_GB2312"/>
                <w:sz w:val="24"/>
                <w:szCs w:val="24"/>
              </w:rPr>
              <w:t xml:space="preserve"> </w:t>
            </w:r>
            <w:r>
              <w:rPr>
                <w:rFonts w:hint="eastAsia" w:ascii="仿宋_GB2312" w:hAnsi="仿宋" w:eastAsia="仿宋_GB2312"/>
                <w:sz w:val="24"/>
                <w:szCs w:val="24"/>
              </w:rPr>
              <w:t xml:space="preserve"> </w:t>
            </w:r>
            <w:r>
              <w:rPr>
                <w:rFonts w:ascii="仿宋_GB2312" w:hAnsi="仿宋" w:eastAsia="仿宋_GB2312"/>
                <w:sz w:val="24"/>
                <w:szCs w:val="24"/>
              </w:rPr>
              <w:t xml:space="preserve">   </w:t>
            </w:r>
            <w:r>
              <w:rPr>
                <w:rFonts w:hint="eastAsia" w:ascii="仿宋_GB2312" w:hAnsi="仿宋" w:eastAsia="仿宋_GB2312"/>
                <w:sz w:val="24"/>
                <w:szCs w:val="24"/>
              </w:rPr>
              <w:t xml:space="preserve"> 3.</w:t>
            </w:r>
            <w:r>
              <w:rPr>
                <w:rFonts w:hint="eastAsia" w:ascii="仿宋_GB2312" w:hAnsi="仿宋" w:eastAsia="仿宋_GB2312"/>
                <w:sz w:val="24"/>
                <w:szCs w:val="24"/>
                <w:lang w:val="en-US" w:eastAsia="zh-CN"/>
              </w:rPr>
              <w:t>推送排版</w:t>
            </w:r>
            <w:r>
              <w:rPr>
                <w:rFonts w:hint="eastAsia" w:ascii="仿宋_GB2312" w:hAnsi="仿宋" w:eastAsia="仿宋_GB2312"/>
                <w:sz w:val="24"/>
                <w:szCs w:val="24"/>
              </w:rPr>
              <w:t xml:space="preserve"> </w:t>
            </w:r>
            <w:r>
              <w:rPr>
                <w:rFonts w:ascii="仿宋_GB2312" w:hAnsi="仿宋" w:eastAsia="仿宋_GB2312"/>
                <w:sz w:val="24"/>
                <w:szCs w:val="24"/>
              </w:rPr>
              <w:t xml:space="preserve"> </w:t>
            </w:r>
            <w:r>
              <w:rPr>
                <w:rFonts w:hint="eastAsia" w:ascii="仿宋_GB2312" w:hAnsi="仿宋" w:eastAsia="仿宋_GB2312"/>
                <w:sz w:val="24"/>
                <w:szCs w:val="24"/>
              </w:rPr>
              <w:t xml:space="preserve">  </w:t>
            </w:r>
            <w:r>
              <w:rPr>
                <w:rFonts w:ascii="仿宋_GB2312" w:hAnsi="仿宋" w:eastAsia="仿宋_GB2312"/>
                <w:sz w:val="24"/>
                <w:szCs w:val="24"/>
              </w:rPr>
              <w:t xml:space="preserve">   </w:t>
            </w:r>
            <w:r>
              <w:rPr>
                <w:rFonts w:hint="eastAsia" w:ascii="仿宋_GB2312" w:hAnsi="仿宋" w:eastAsia="仿宋_GB2312"/>
                <w:sz w:val="24"/>
                <w:szCs w:val="24"/>
              </w:rPr>
              <w:t xml:space="preserve"> 4.文笔写作    </w:t>
            </w:r>
          </w:p>
          <w:p w14:paraId="2CF83986">
            <w:pPr>
              <w:keepNext w:val="0"/>
              <w:keepLines w:val="0"/>
              <w:pageBreakBefore w:val="0"/>
              <w:kinsoku/>
              <w:wordWrap/>
              <w:overflowPunct/>
              <w:topLinePunct w:val="0"/>
              <w:autoSpaceDE/>
              <w:autoSpaceDN/>
              <w:bidi w:val="0"/>
              <w:adjustRightInd w:val="0"/>
              <w:snapToGrid w:val="0"/>
              <w:spacing w:line="360" w:lineRule="auto"/>
              <w:textAlignment w:val="auto"/>
              <w:rPr>
                <w:rFonts w:hint="default" w:ascii="仿宋_GB2312" w:hAnsi="仿宋" w:eastAsia="仿宋_GB2312"/>
                <w:sz w:val="24"/>
                <w:szCs w:val="24"/>
                <w:lang w:val="en-US"/>
              </w:rPr>
            </w:pPr>
            <w:r>
              <w:rPr>
                <w:rFonts w:hint="eastAsia" w:ascii="仿宋_GB2312" w:hAnsi="仿宋" w:eastAsia="仿宋_GB2312"/>
                <w:sz w:val="24"/>
                <w:szCs w:val="24"/>
              </w:rPr>
              <w:t xml:space="preserve">5.组织管理    </w:t>
            </w:r>
            <w:r>
              <w:rPr>
                <w:rFonts w:ascii="仿宋_GB2312" w:hAnsi="仿宋" w:eastAsia="仿宋_GB2312"/>
                <w:sz w:val="24"/>
                <w:szCs w:val="24"/>
              </w:rPr>
              <w:t xml:space="preserve">    </w:t>
            </w:r>
            <w:r>
              <w:rPr>
                <w:rFonts w:hint="eastAsia" w:ascii="仿宋_GB2312" w:hAnsi="仿宋" w:eastAsia="仿宋_GB2312"/>
                <w:sz w:val="24"/>
                <w:szCs w:val="24"/>
              </w:rPr>
              <w:t xml:space="preserve">6.宣传展示   </w:t>
            </w:r>
            <w:r>
              <w:rPr>
                <w:rFonts w:hint="eastAsia" w:ascii="仿宋_GB2312" w:hAnsi="仿宋" w:eastAsia="仿宋_GB2312"/>
                <w:sz w:val="24"/>
                <w:szCs w:val="24"/>
                <w:lang w:val="en-US" w:eastAsia="zh-CN"/>
              </w:rPr>
              <w:t xml:space="preserve">  </w:t>
            </w:r>
            <w:r>
              <w:rPr>
                <w:rFonts w:ascii="仿宋_GB2312" w:hAnsi="仿宋" w:eastAsia="仿宋_GB2312"/>
                <w:sz w:val="24"/>
                <w:szCs w:val="24"/>
              </w:rPr>
              <w:t xml:space="preserve">  </w:t>
            </w:r>
            <w:r>
              <w:rPr>
                <w:rFonts w:hint="eastAsia" w:ascii="仿宋_GB2312" w:hAnsi="仿宋" w:eastAsia="仿宋_GB2312"/>
                <w:sz w:val="24"/>
                <w:szCs w:val="24"/>
              </w:rPr>
              <w:t xml:space="preserve"> </w:t>
            </w:r>
            <w:r>
              <w:rPr>
                <w:rFonts w:hint="eastAsia" w:ascii="仿宋_GB2312" w:hAnsi="仿宋" w:eastAsia="仿宋_GB2312"/>
                <w:sz w:val="24"/>
                <w:szCs w:val="24"/>
                <w:lang w:val="en-US" w:eastAsia="zh-CN"/>
              </w:rPr>
              <w:t>7</w:t>
            </w:r>
            <w:r>
              <w:rPr>
                <w:rFonts w:hint="eastAsia" w:ascii="仿宋_GB2312" w:hAnsi="仿宋" w:eastAsia="仿宋_GB2312"/>
                <w:sz w:val="24"/>
                <w:szCs w:val="24"/>
              </w:rPr>
              <w:t>.</w:t>
            </w:r>
            <w:r>
              <w:rPr>
                <w:rFonts w:hint="eastAsia" w:ascii="仿宋_GB2312" w:hAnsi="仿宋" w:eastAsia="仿宋_GB2312"/>
                <w:sz w:val="24"/>
                <w:szCs w:val="24"/>
                <w:lang w:val="en-US" w:eastAsia="zh-CN"/>
              </w:rPr>
              <w:t>播音主持        8.社交礼仪</w:t>
            </w:r>
          </w:p>
          <w:p w14:paraId="3D4595DB">
            <w:pPr>
              <w:keepNext w:val="0"/>
              <w:keepLines w:val="0"/>
              <w:pageBreakBefore w:val="0"/>
              <w:kinsoku/>
              <w:wordWrap/>
              <w:overflowPunct/>
              <w:topLinePunct w:val="0"/>
              <w:autoSpaceDE/>
              <w:autoSpaceDN/>
              <w:bidi w:val="0"/>
              <w:adjustRightInd w:val="0"/>
              <w:snapToGrid w:val="0"/>
              <w:spacing w:line="360" w:lineRule="auto"/>
              <w:textAlignment w:val="auto"/>
              <w:rPr>
                <w:rFonts w:hint="default" w:ascii="仿宋_GB2312" w:hAnsi="仿宋" w:eastAsia="仿宋_GB2312"/>
                <w:sz w:val="24"/>
                <w:szCs w:val="24"/>
                <w:lang w:val="en-US" w:eastAsia="zh-CN"/>
              </w:rPr>
            </w:pPr>
            <w:r>
              <w:rPr>
                <w:rFonts w:hint="eastAsia" w:ascii="仿宋_GB2312" w:hAnsi="仿宋" w:eastAsia="仿宋_GB2312"/>
                <w:sz w:val="24"/>
                <w:szCs w:val="24"/>
              </w:rPr>
              <w:t xml:space="preserve">其他： </w:t>
            </w:r>
            <w:r>
              <w:rPr>
                <w:rFonts w:hint="eastAsia" w:ascii="仿宋_GB2312" w:hAnsi="仿宋" w:eastAsia="仿宋_GB2312"/>
                <w:sz w:val="24"/>
                <w:szCs w:val="24"/>
                <w:lang w:val="en-US" w:eastAsia="zh-CN"/>
              </w:rPr>
              <w:t xml:space="preserve">                                        </w:t>
            </w:r>
            <w:r>
              <w:rPr>
                <w:rFonts w:hint="eastAsia" w:ascii="仿宋_GB2312" w:hAnsi="仿宋" w:eastAsia="仿宋_GB2312"/>
                <w:i/>
                <w:iCs/>
                <w:sz w:val="22"/>
                <w:szCs w:val="22"/>
                <w:lang w:val="en-US" w:eastAsia="zh-CN"/>
              </w:rPr>
              <w:t>（若有其他特长，也可在面试中表述）</w:t>
            </w:r>
          </w:p>
        </w:tc>
      </w:tr>
      <w:tr w14:paraId="12AF6BE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1222" w:hRule="atLeast"/>
          <w:jc w:val="center"/>
        </w:trPr>
        <w:tc>
          <w:tcPr>
            <w:tcW w:w="406" w:type="pct"/>
            <w:vAlign w:val="center"/>
          </w:tcPr>
          <w:p w14:paraId="0F65907E">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仿宋_GB2312" w:hAnsi="仿宋" w:eastAsia="仿宋_GB2312"/>
                <w:sz w:val="20"/>
                <w:szCs w:val="20"/>
                <w:lang w:val="en-US" w:eastAsia="zh-CN"/>
              </w:rPr>
            </w:pPr>
            <w:r>
              <w:rPr>
                <w:rFonts w:hint="eastAsia" w:ascii="仿宋_GB2312" w:hAnsi="仿宋" w:eastAsia="仿宋_GB2312"/>
                <w:sz w:val="24"/>
                <w:szCs w:val="24"/>
                <w:lang w:val="en-US" w:eastAsia="zh-CN"/>
              </w:rPr>
              <w:t>意向组别</w:t>
            </w:r>
          </w:p>
        </w:tc>
        <w:tc>
          <w:tcPr>
            <w:tcW w:w="4593" w:type="pct"/>
            <w:gridSpan w:val="5"/>
            <w:vAlign w:val="center"/>
          </w:tcPr>
          <w:p w14:paraId="584F8A6C">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仿宋_GB2312" w:hAnsi="仿宋" w:eastAsia="仿宋_GB2312"/>
                <w:b/>
                <w:bCs/>
                <w:sz w:val="24"/>
                <w:szCs w:val="24"/>
                <w:lang w:val="en-US" w:eastAsia="zh-CN"/>
              </w:rPr>
            </w:pPr>
            <w:r>
              <w:rPr>
                <w:rFonts w:hint="default" w:ascii="仿宋_GB2312" w:hAnsi="仿宋" w:eastAsia="仿宋_GB2312"/>
                <w:b/>
                <w:bCs/>
                <w:sz w:val="24"/>
                <w:szCs w:val="24"/>
                <w:lang w:val="en-US" w:eastAsia="zh-CN"/>
              </w:rPr>
              <w:sym w:font="Wingdings" w:char="00A8"/>
            </w:r>
            <w:r>
              <w:rPr>
                <w:rFonts w:hint="eastAsia" w:ascii="仿宋_GB2312" w:hAnsi="仿宋" w:eastAsia="仿宋_GB2312"/>
                <w:b/>
                <w:bCs/>
                <w:sz w:val="24"/>
                <w:szCs w:val="24"/>
                <w:lang w:val="en-US" w:eastAsia="zh-CN"/>
              </w:rPr>
              <w:t xml:space="preserve">骨干培养组         </w:t>
            </w:r>
            <w:r>
              <w:rPr>
                <w:rFonts w:hint="eastAsia" w:ascii="仿宋_GB2312" w:hAnsi="仿宋" w:eastAsia="仿宋_GB2312"/>
                <w:b/>
                <w:bCs/>
                <w:sz w:val="24"/>
                <w:szCs w:val="24"/>
                <w:lang w:val="en-US" w:eastAsia="zh-CN"/>
              </w:rPr>
              <w:sym w:font="Wingdings" w:char="00A8"/>
            </w:r>
            <w:r>
              <w:rPr>
                <w:rFonts w:hint="eastAsia" w:ascii="仿宋_GB2312" w:hAnsi="仿宋" w:eastAsia="仿宋_GB2312"/>
                <w:b/>
                <w:bCs/>
                <w:sz w:val="24"/>
                <w:szCs w:val="24"/>
                <w:lang w:val="en-US" w:eastAsia="zh-CN"/>
              </w:rPr>
              <w:t xml:space="preserve">思想引领组           </w:t>
            </w:r>
            <w:r>
              <w:rPr>
                <w:rFonts w:hint="eastAsia" w:ascii="仿宋_GB2312" w:hAnsi="仿宋" w:eastAsia="仿宋_GB2312"/>
                <w:b/>
                <w:bCs/>
                <w:sz w:val="24"/>
                <w:szCs w:val="24"/>
                <w:lang w:val="en-US" w:eastAsia="zh-CN"/>
              </w:rPr>
              <w:sym w:font="Wingdings" w:char="00A8"/>
            </w:r>
            <w:r>
              <w:rPr>
                <w:rFonts w:hint="eastAsia" w:ascii="仿宋_GB2312" w:hAnsi="仿宋" w:eastAsia="仿宋_GB2312"/>
                <w:b/>
                <w:bCs/>
                <w:sz w:val="24"/>
                <w:szCs w:val="24"/>
                <w:lang w:val="en-US" w:eastAsia="zh-CN"/>
              </w:rPr>
              <w:t xml:space="preserve">综合团务组          </w:t>
            </w:r>
            <w:r>
              <w:rPr>
                <w:rFonts w:hint="eastAsia" w:ascii="仿宋_GB2312" w:hAnsi="仿宋" w:eastAsia="仿宋_GB2312"/>
                <w:b/>
                <w:bCs/>
                <w:sz w:val="24"/>
                <w:szCs w:val="24"/>
                <w:lang w:val="en-US" w:eastAsia="zh-CN"/>
              </w:rPr>
              <w:sym w:font="Wingdings" w:char="00A8"/>
            </w:r>
            <w:r>
              <w:rPr>
                <w:rFonts w:hint="eastAsia" w:ascii="仿宋_GB2312" w:hAnsi="仿宋" w:eastAsia="仿宋_GB2312"/>
                <w:b/>
                <w:bCs/>
                <w:sz w:val="24"/>
                <w:szCs w:val="24"/>
                <w:lang w:val="en-US" w:eastAsia="zh-CN"/>
              </w:rPr>
              <w:t>青年评价组</w:t>
            </w:r>
          </w:p>
          <w:p w14:paraId="790F82F1">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default" w:ascii="仿宋_GB2312" w:hAnsi="仿宋" w:eastAsia="仿宋_GB2312"/>
                <w:sz w:val="24"/>
                <w:szCs w:val="24"/>
                <w:lang w:val="en-US" w:eastAsia="zh-CN"/>
              </w:rPr>
            </w:pPr>
            <w:r>
              <w:rPr>
                <w:rFonts w:hint="eastAsia" w:ascii="仿宋_GB2312" w:hAnsi="仿宋" w:eastAsia="仿宋_GB2312"/>
                <w:sz w:val="22"/>
                <w:szCs w:val="22"/>
                <w:lang w:val="en-US" w:eastAsia="zh-CN"/>
              </w:rPr>
              <w:t>（各组具体工作参考北科大团组公众号招新推文，意向可多选，是否服从调剂，</w:t>
            </w:r>
            <w:r>
              <w:rPr>
                <w:rFonts w:hint="eastAsia" w:ascii="仿宋_GB2312" w:hAnsi="仿宋" w:eastAsia="仿宋_GB2312"/>
                <w:sz w:val="22"/>
                <w:szCs w:val="22"/>
                <w:lang w:val="en-US" w:eastAsia="zh-CN"/>
              </w:rPr>
              <w:sym w:font="Wingdings" w:char="00A8"/>
            </w:r>
            <w:r>
              <w:rPr>
                <w:rFonts w:hint="eastAsia" w:ascii="仿宋_GB2312" w:hAnsi="仿宋" w:eastAsia="仿宋_GB2312"/>
                <w:sz w:val="22"/>
                <w:szCs w:val="22"/>
                <w:lang w:val="en-US" w:eastAsia="zh-CN"/>
              </w:rPr>
              <w:t>是，</w:t>
            </w:r>
            <w:r>
              <w:rPr>
                <w:rFonts w:hint="eastAsia" w:ascii="仿宋_GB2312" w:hAnsi="仿宋" w:eastAsia="仿宋_GB2312"/>
                <w:sz w:val="22"/>
                <w:szCs w:val="22"/>
                <w:lang w:val="en-US" w:eastAsia="zh-CN"/>
              </w:rPr>
              <w:sym w:font="Wingdings" w:char="00A8"/>
            </w:r>
            <w:r>
              <w:rPr>
                <w:rFonts w:hint="eastAsia" w:ascii="仿宋_GB2312" w:hAnsi="仿宋" w:eastAsia="仿宋_GB2312"/>
                <w:sz w:val="22"/>
                <w:szCs w:val="22"/>
                <w:lang w:val="en-US" w:eastAsia="zh-CN"/>
              </w:rPr>
              <w:t>否）</w:t>
            </w:r>
          </w:p>
        </w:tc>
      </w:tr>
      <w:tr w14:paraId="69F5F5B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2413" w:hRule="atLeast"/>
          <w:jc w:val="center"/>
        </w:trPr>
        <w:tc>
          <w:tcPr>
            <w:tcW w:w="406" w:type="pct"/>
            <w:vAlign w:val="center"/>
          </w:tcPr>
          <w:p w14:paraId="09D0AE73">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仿宋_GB2312" w:hAnsi="仿宋" w:eastAsia="仿宋_GB2312"/>
                <w:sz w:val="20"/>
                <w:szCs w:val="20"/>
              </w:rPr>
            </w:pPr>
            <w:r>
              <w:rPr>
                <w:rFonts w:hint="eastAsia" w:ascii="仿宋_GB2312" w:hAnsi="仿宋" w:eastAsia="仿宋_GB2312"/>
                <w:sz w:val="20"/>
                <w:szCs w:val="20"/>
              </w:rPr>
              <w:t>个人</w:t>
            </w:r>
          </w:p>
          <w:p w14:paraId="4C33B30F">
            <w:pPr>
              <w:keepNext w:val="0"/>
              <w:keepLines w:val="0"/>
              <w:pageBreakBefore w:val="0"/>
              <w:kinsoku/>
              <w:wordWrap/>
              <w:overflowPunct/>
              <w:topLinePunct w:val="0"/>
              <w:autoSpaceDE/>
              <w:autoSpaceDN/>
              <w:bidi w:val="0"/>
              <w:adjustRightInd w:val="0"/>
              <w:snapToGrid w:val="0"/>
              <w:spacing w:line="360" w:lineRule="auto"/>
              <w:jc w:val="center"/>
              <w:textAlignment w:val="auto"/>
              <w:rPr>
                <w:rFonts w:ascii="仿宋_GB2312" w:hAnsi="仿宋" w:eastAsia="仿宋_GB2312"/>
                <w:sz w:val="20"/>
                <w:szCs w:val="20"/>
              </w:rPr>
            </w:pPr>
            <w:r>
              <w:rPr>
                <w:rFonts w:hint="eastAsia" w:ascii="仿宋_GB2312" w:hAnsi="仿宋" w:eastAsia="仿宋_GB2312"/>
                <w:sz w:val="20"/>
                <w:szCs w:val="20"/>
              </w:rPr>
              <w:t>简历</w:t>
            </w:r>
          </w:p>
          <w:p w14:paraId="55DEBF58">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仿宋_GB2312" w:hAnsi="仿宋" w:eastAsia="仿宋_GB2312"/>
                <w:sz w:val="20"/>
                <w:szCs w:val="20"/>
              </w:rPr>
            </w:pPr>
            <w:r>
              <w:rPr>
                <w:rFonts w:hint="eastAsia" w:ascii="仿宋_GB2312" w:hAnsi="仿宋" w:eastAsia="仿宋_GB2312"/>
                <w:sz w:val="20"/>
                <w:szCs w:val="20"/>
              </w:rPr>
              <w:t>（学生工作经历及荣誉）</w:t>
            </w:r>
          </w:p>
        </w:tc>
        <w:tc>
          <w:tcPr>
            <w:tcW w:w="4593" w:type="pct"/>
            <w:gridSpan w:val="5"/>
            <w:vAlign w:val="center"/>
          </w:tcPr>
          <w:p w14:paraId="761664E7">
            <w:pPr>
              <w:keepNext w:val="0"/>
              <w:keepLines w:val="0"/>
              <w:pageBreakBefore w:val="0"/>
              <w:kinsoku/>
              <w:wordWrap/>
              <w:overflowPunct/>
              <w:topLinePunct w:val="0"/>
              <w:autoSpaceDE/>
              <w:autoSpaceDN/>
              <w:bidi w:val="0"/>
              <w:adjustRightInd w:val="0"/>
              <w:snapToGrid w:val="0"/>
              <w:spacing w:line="360" w:lineRule="auto"/>
              <w:textAlignment w:val="auto"/>
              <w:rPr>
                <w:rFonts w:ascii="仿宋_GB2312" w:hAnsi="仿宋" w:eastAsia="仿宋_GB2312"/>
                <w:sz w:val="24"/>
                <w:szCs w:val="24"/>
              </w:rPr>
            </w:pPr>
          </w:p>
        </w:tc>
      </w:tr>
      <w:tr w14:paraId="459A1A7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2331" w:hRule="atLeast"/>
          <w:jc w:val="center"/>
        </w:trPr>
        <w:tc>
          <w:tcPr>
            <w:tcW w:w="406" w:type="pct"/>
            <w:vAlign w:val="center"/>
          </w:tcPr>
          <w:p w14:paraId="20419194">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仿宋_GB2312" w:hAnsi="仿宋" w:eastAsia="仿宋_GB2312"/>
                <w:sz w:val="20"/>
                <w:szCs w:val="20"/>
                <w:lang w:val="en-US" w:eastAsia="zh-CN"/>
              </w:rPr>
            </w:pPr>
            <w:r>
              <w:rPr>
                <w:rFonts w:hint="eastAsia" w:ascii="仿宋_GB2312" w:hAnsi="仿宋" w:eastAsia="仿宋_GB2312"/>
                <w:sz w:val="20"/>
                <w:szCs w:val="20"/>
                <w:lang w:val="en-US" w:eastAsia="zh-CN"/>
              </w:rPr>
              <w:t>为什么想加入校团委组织部</w:t>
            </w:r>
          </w:p>
        </w:tc>
        <w:tc>
          <w:tcPr>
            <w:tcW w:w="4593" w:type="pct"/>
            <w:gridSpan w:val="5"/>
            <w:vAlign w:val="center"/>
          </w:tcPr>
          <w:p w14:paraId="06DFA210">
            <w:pPr>
              <w:keepNext w:val="0"/>
              <w:keepLines w:val="0"/>
              <w:pageBreakBefore w:val="0"/>
              <w:kinsoku/>
              <w:wordWrap/>
              <w:overflowPunct/>
              <w:topLinePunct w:val="0"/>
              <w:autoSpaceDE/>
              <w:autoSpaceDN/>
              <w:bidi w:val="0"/>
              <w:adjustRightInd w:val="0"/>
              <w:snapToGrid w:val="0"/>
              <w:spacing w:line="360" w:lineRule="auto"/>
              <w:textAlignment w:val="auto"/>
              <w:rPr>
                <w:rFonts w:ascii="仿宋_GB2312" w:hAnsi="仿宋" w:eastAsia="仿宋_GB2312"/>
                <w:sz w:val="24"/>
                <w:szCs w:val="24"/>
              </w:rPr>
            </w:pPr>
          </w:p>
        </w:tc>
      </w:tr>
      <w:tr w14:paraId="383B45F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2744" w:hRule="atLeast"/>
          <w:jc w:val="center"/>
        </w:trPr>
        <w:tc>
          <w:tcPr>
            <w:tcW w:w="406" w:type="pct"/>
            <w:vAlign w:val="center"/>
          </w:tcPr>
          <w:p w14:paraId="3C111BA5">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default" w:ascii="仿宋_GB2312" w:hAnsi="仿宋" w:eastAsia="仿宋_GB2312"/>
                <w:sz w:val="20"/>
                <w:szCs w:val="20"/>
                <w:lang w:val="en-US" w:eastAsia="zh-CN"/>
              </w:rPr>
            </w:pPr>
            <w:r>
              <w:rPr>
                <w:rFonts w:hint="eastAsia" w:ascii="仿宋_GB2312" w:hAnsi="仿宋" w:eastAsia="仿宋_GB2312"/>
                <w:sz w:val="20"/>
                <w:szCs w:val="20"/>
                <w:lang w:val="en-US" w:eastAsia="zh-CN"/>
              </w:rPr>
              <w:t>大学未来的规划</w:t>
            </w:r>
          </w:p>
        </w:tc>
        <w:tc>
          <w:tcPr>
            <w:tcW w:w="4593" w:type="pct"/>
            <w:gridSpan w:val="5"/>
            <w:vAlign w:val="center"/>
          </w:tcPr>
          <w:p w14:paraId="7E606E64">
            <w:pPr>
              <w:keepNext w:val="0"/>
              <w:keepLines w:val="0"/>
              <w:pageBreakBefore w:val="0"/>
              <w:kinsoku/>
              <w:wordWrap/>
              <w:overflowPunct/>
              <w:topLinePunct w:val="0"/>
              <w:autoSpaceDE/>
              <w:autoSpaceDN/>
              <w:bidi w:val="0"/>
              <w:adjustRightInd w:val="0"/>
              <w:snapToGrid w:val="0"/>
              <w:spacing w:line="360" w:lineRule="auto"/>
              <w:textAlignment w:val="auto"/>
              <w:rPr>
                <w:rFonts w:ascii="仿宋_GB2312" w:hAnsi="仿宋" w:eastAsia="仿宋_GB2312"/>
                <w:sz w:val="24"/>
                <w:szCs w:val="24"/>
              </w:rPr>
            </w:pPr>
          </w:p>
        </w:tc>
      </w:tr>
    </w:tbl>
    <w:p w14:paraId="21C61CA3">
      <w:pPr>
        <w:pStyle w:val="7"/>
        <w:keepNext w:val="0"/>
        <w:keepLines w:val="0"/>
        <w:pageBreakBefore w:val="0"/>
        <w:widowControl w:val="0"/>
        <w:kinsoku/>
        <w:wordWrap/>
        <w:overflowPunct/>
        <w:topLinePunct w:val="0"/>
        <w:autoSpaceDE/>
        <w:autoSpaceDN/>
        <w:bidi w:val="0"/>
        <w:adjustRightInd w:val="0"/>
        <w:snapToGrid w:val="0"/>
        <w:spacing w:line="20" w:lineRule="exact"/>
        <w:ind w:firstLine="0" w:firstLineChars="0"/>
        <w:jc w:val="both"/>
        <w:textAlignment w:val="auto"/>
        <w:rPr>
          <w:rFonts w:hint="eastAsia" w:ascii="楷体" w:hAnsi="楷体" w:eastAsia="楷体" w:cs="楷体"/>
          <w:b w:val="0"/>
          <w:bCs w:val="0"/>
          <w:sz w:val="22"/>
          <w:szCs w:val="22"/>
          <w:lang w:val="en-US" w:eastAsia="zh-CN"/>
        </w:rPr>
      </w:pPr>
    </w:p>
    <w:sectPr>
      <w:footerReference r:id="rId3" w:type="default"/>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54AC9B9F-2003-4D92-9501-67C16E860B82}"/>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2" w:fontKey="{D7E88DF7-44E9-4A1B-A990-2463A72B42B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embedRegular r:id="rId3" w:fontKey="{0133D235-D7AA-49A5-AA2A-49547468C256}"/>
  </w:font>
  <w:font w:name="仿宋_GB2312">
    <w:panose1 w:val="02010609030101010101"/>
    <w:charset w:val="86"/>
    <w:family w:val="modern"/>
    <w:pitch w:val="default"/>
    <w:sig w:usb0="00000001" w:usb1="080E0000" w:usb2="00000000" w:usb3="00000000" w:csb0="00040000" w:csb1="00000000"/>
    <w:embedRegular r:id="rId4" w:fontKey="{64B5562E-781C-4A64-B20C-8299396988B1}"/>
  </w:font>
  <w:font w:name="仿宋">
    <w:panose1 w:val="02010609060101010101"/>
    <w:charset w:val="86"/>
    <w:family w:val="modern"/>
    <w:pitch w:val="default"/>
    <w:sig w:usb0="800002BF" w:usb1="38CF7CFA" w:usb2="00000016" w:usb3="00000000" w:csb0="00040001" w:csb1="00000000"/>
    <w:embedRegular r:id="rId5" w:fontKey="{119BC33B-FE2B-4096-81D4-972EFA3F9BD4}"/>
  </w:font>
  <w:font w:name="楷体">
    <w:panose1 w:val="02010609060101010101"/>
    <w:charset w:val="86"/>
    <w:family w:val="auto"/>
    <w:pitch w:val="default"/>
    <w:sig w:usb0="800002BF" w:usb1="38CF7CFA" w:usb2="00000016" w:usb3="00000000" w:csb0="00040001" w:csb1="00000000"/>
    <w:embedRegular r:id="rId6" w:fontKey="{C5FFD650-05A4-4AC8-AE06-64D371DAC75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CA1BA1">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3C21EB">
                          <w:pPr>
                            <w:pStyle w:val="2"/>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fldChar w:fldCharType="begin"/>
                          </w:r>
                          <w:r>
                            <w:rPr>
                              <w:rFonts w:hint="eastAsia" w:ascii="仿宋_GB2312" w:hAnsi="仿宋_GB2312" w:eastAsia="仿宋_GB2312" w:cs="仿宋_GB2312"/>
                              <w:sz w:val="21"/>
                              <w:szCs w:val="21"/>
                            </w:rPr>
                            <w:instrText xml:space="preserve"> PAGE  \* MERGEFORMAT </w:instrText>
                          </w:r>
                          <w:r>
                            <w:rPr>
                              <w:rFonts w:hint="eastAsia" w:ascii="仿宋_GB2312" w:hAnsi="仿宋_GB2312" w:eastAsia="仿宋_GB2312" w:cs="仿宋_GB2312"/>
                              <w:sz w:val="21"/>
                              <w:szCs w:val="21"/>
                            </w:rPr>
                            <w:fldChar w:fldCharType="separate"/>
                          </w:r>
                          <w:r>
                            <w:rPr>
                              <w:rFonts w:hint="eastAsia" w:ascii="仿宋_GB2312" w:hAnsi="仿宋_GB2312" w:eastAsia="仿宋_GB2312" w:cs="仿宋_GB2312"/>
                              <w:sz w:val="21"/>
                              <w:szCs w:val="21"/>
                            </w:rPr>
                            <w:t>1</w:t>
                          </w:r>
                          <w:r>
                            <w:rPr>
                              <w:rFonts w:hint="eastAsia" w:ascii="仿宋_GB2312" w:hAnsi="仿宋_GB2312" w:eastAsia="仿宋_GB2312" w:cs="仿宋_GB2312"/>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73C21EB">
                    <w:pPr>
                      <w:pStyle w:val="2"/>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fldChar w:fldCharType="begin"/>
                    </w:r>
                    <w:r>
                      <w:rPr>
                        <w:rFonts w:hint="eastAsia" w:ascii="仿宋_GB2312" w:hAnsi="仿宋_GB2312" w:eastAsia="仿宋_GB2312" w:cs="仿宋_GB2312"/>
                        <w:sz w:val="21"/>
                        <w:szCs w:val="21"/>
                      </w:rPr>
                      <w:instrText xml:space="preserve"> PAGE  \* MERGEFORMAT </w:instrText>
                    </w:r>
                    <w:r>
                      <w:rPr>
                        <w:rFonts w:hint="eastAsia" w:ascii="仿宋_GB2312" w:hAnsi="仿宋_GB2312" w:eastAsia="仿宋_GB2312" w:cs="仿宋_GB2312"/>
                        <w:sz w:val="21"/>
                        <w:szCs w:val="21"/>
                      </w:rPr>
                      <w:fldChar w:fldCharType="separate"/>
                    </w:r>
                    <w:r>
                      <w:rPr>
                        <w:rFonts w:hint="eastAsia" w:ascii="仿宋_GB2312" w:hAnsi="仿宋_GB2312" w:eastAsia="仿宋_GB2312" w:cs="仿宋_GB2312"/>
                        <w:sz w:val="21"/>
                        <w:szCs w:val="21"/>
                      </w:rPr>
                      <w:t>1</w:t>
                    </w:r>
                    <w:r>
                      <w:rPr>
                        <w:rFonts w:hint="eastAsia" w:ascii="仿宋_GB2312" w:hAnsi="仿宋_GB2312" w:eastAsia="仿宋_GB2312" w:cs="仿宋_GB2312"/>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VlNmIyMjNjZDIwNjdlMmQ3NjQzNTkxNmI1OTAwZjYifQ=="/>
    <w:docVar w:name="KSO_WPS_MARK_KEY" w:val="b4968ebd-5461-46a2-b925-a493f3bbfde1"/>
  </w:docVars>
  <w:rsids>
    <w:rsidRoot w:val="008D0F39"/>
    <w:rsid w:val="001E1AA4"/>
    <w:rsid w:val="004307CB"/>
    <w:rsid w:val="004F5980"/>
    <w:rsid w:val="006C15BA"/>
    <w:rsid w:val="008A2787"/>
    <w:rsid w:val="008D0F39"/>
    <w:rsid w:val="008D213E"/>
    <w:rsid w:val="00A77954"/>
    <w:rsid w:val="00C16EDC"/>
    <w:rsid w:val="00C67B72"/>
    <w:rsid w:val="00CB063F"/>
    <w:rsid w:val="00D55B8D"/>
    <w:rsid w:val="00E157F9"/>
    <w:rsid w:val="00EE7B8E"/>
    <w:rsid w:val="00FC6D91"/>
    <w:rsid w:val="03D15B13"/>
    <w:rsid w:val="079E65B2"/>
    <w:rsid w:val="09716CD7"/>
    <w:rsid w:val="0D2D400F"/>
    <w:rsid w:val="0F7F9947"/>
    <w:rsid w:val="14625474"/>
    <w:rsid w:val="22A75E85"/>
    <w:rsid w:val="28ED437D"/>
    <w:rsid w:val="2A7766B1"/>
    <w:rsid w:val="2B711FBF"/>
    <w:rsid w:val="33EF29A4"/>
    <w:rsid w:val="3EC379ED"/>
    <w:rsid w:val="47F27E77"/>
    <w:rsid w:val="48F44E1D"/>
    <w:rsid w:val="4CEA6562"/>
    <w:rsid w:val="4D905F87"/>
    <w:rsid w:val="4F092594"/>
    <w:rsid w:val="5508565F"/>
    <w:rsid w:val="559928D9"/>
    <w:rsid w:val="5B182775"/>
    <w:rsid w:val="62706518"/>
    <w:rsid w:val="65B774FE"/>
    <w:rsid w:val="66B14249"/>
    <w:rsid w:val="675F62D6"/>
    <w:rsid w:val="68BC6E36"/>
    <w:rsid w:val="68FB99FF"/>
    <w:rsid w:val="6DF73054"/>
    <w:rsid w:val="6E5A6ED5"/>
    <w:rsid w:val="722A2B51"/>
    <w:rsid w:val="78B302D4"/>
    <w:rsid w:val="7F360C0C"/>
    <w:rsid w:val="7FFFD16C"/>
    <w:rsid w:val="9D7CD728"/>
    <w:rsid w:val="FEBF5E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semiHidden/>
    <w:unhideWhenUsed/>
    <w:qFormat/>
    <w:uiPriority w:val="99"/>
    <w:rPr>
      <w:color w:val="0000FF"/>
      <w:u w:val="single"/>
    </w:rPr>
  </w:style>
  <w:style w:type="paragraph" w:styleId="7">
    <w:name w:val="List Paragraph"/>
    <w:basedOn w:val="1"/>
    <w:qFormat/>
    <w:uiPriority w:val="34"/>
    <w:pPr>
      <w:ind w:firstLine="420" w:firstLineChars="200"/>
    </w:pPr>
  </w:style>
  <w:style w:type="character" w:customStyle="1" w:styleId="8">
    <w:name w:val="页脚 字符"/>
    <w:basedOn w:val="5"/>
    <w:link w:val="2"/>
    <w:qFormat/>
    <w:uiPriority w:val="99"/>
    <w:rPr>
      <w:rFonts w:asciiTheme="minorHAnsi" w:hAnsiTheme="minorHAnsi" w:eastAsiaTheme="minorEastAsia" w:cstheme="minorBidi"/>
      <w:kern w:val="2"/>
      <w:sz w:val="18"/>
      <w:szCs w:val="18"/>
      <w14:ligatures w14:val="standardContextual"/>
    </w:rPr>
  </w:style>
  <w:style w:type="paragraph" w:customStyle="1" w:styleId="9">
    <w:name w:val="正文1"/>
    <w:qFormat/>
    <w:uiPriority w:val="0"/>
    <w:pPr>
      <w:jc w:val="both"/>
    </w:pPr>
    <w:rPr>
      <w:rFonts w:ascii="Arial" w:hAnsi="Arial" w:eastAsia="宋体" w:cs="Arial"/>
      <w:kern w:val="2"/>
      <w:sz w:val="21"/>
      <w:szCs w:val="21"/>
      <w:lang w:val="en-US" w:eastAsia="zh-CN" w:bidi="ar-SA"/>
    </w:rPr>
  </w:style>
  <w:style w:type="paragraph" w:customStyle="1" w:styleId="10">
    <w:name w:val="无序标题"/>
    <w:basedOn w:val="11"/>
    <w:qFormat/>
    <w:uiPriority w:val="0"/>
    <w:rPr>
      <w:rFonts w:ascii="华文中宋" w:hAnsi="华文中宋" w:eastAsia="华文中宋"/>
      <w:b/>
    </w:rPr>
  </w:style>
  <w:style w:type="paragraph" w:customStyle="1" w:styleId="11">
    <w:name w:val="正文正文"/>
    <w:basedOn w:val="1"/>
    <w:qFormat/>
    <w:uiPriority w:val="0"/>
    <w:pPr>
      <w:snapToGrid w:val="0"/>
      <w:ind w:firstLine="480"/>
      <w:jc w:val="both"/>
    </w:pPr>
    <w:rPr>
      <w:rFonts w:ascii="仿宋_GB2312" w:hAnsi="仿宋" w:eastAsia="仿宋_GB231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Pages>
  <Words>2523</Words>
  <Characters>2554</Characters>
  <Lines>8</Lines>
  <Paragraphs>2</Paragraphs>
  <TotalTime>11</TotalTime>
  <ScaleCrop>false</ScaleCrop>
  <LinksUpToDate>false</LinksUpToDate>
  <CharactersWithSpaces>2702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2023-09-14T14:08:00Z</dcterms:created>
  <dc:creator>洋 丁</dc:creator>
  <cp:lastModifiedBy>信息文秘</cp:lastModifiedBy>
  <cp:lastPrinted>2024-02-29T23:46:00Z</cp:lastPrinted>
  <dcterms:modified xsi:type="dcterms:W3CDTF">2025-02-28T09:30:54Z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555CFA6BF87142018E6E0CF73FA78F90_13</vt:lpwstr>
  </property>
  <property fmtid="{D5CDD505-2E9C-101B-9397-08002B2CF9AE}" pid="4" name="KSOTemplateDocerSaveRecord">
    <vt:lpwstr>eyJoZGlkIjoiNzVjYzEzMWVkZDVkYTkzNTIxODA1NzVjMTM4NjE1YjMiLCJ1c2VySWQiOiIyMjI1NjIyMzAifQ==</vt:lpwstr>
  </property>
</Properties>
</file>